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49708D2" w:rsidP="749708D2" w:rsidRDefault="749708D2" w14:paraId="71FA41D3" w14:textId="250380F5">
      <w:pPr>
        <w:pStyle w:val="Heading1"/>
        <w:rPr>
          <w:rFonts w:ascii="Arial" w:hAnsi="Arial" w:eastAsia="Arial" w:cs="Arial"/>
          <w:sz w:val="20"/>
          <w:szCs w:val="20"/>
        </w:rPr>
      </w:pPr>
      <w:r w:rsidRPr="5CEEBD2B" w:rsidR="0CE3B843">
        <w:rPr>
          <w:rFonts w:ascii="Arial" w:hAnsi="Arial" w:eastAsia="Arial" w:cs="Arial"/>
          <w:b w:val="1"/>
          <w:bCs w:val="1"/>
          <w:sz w:val="20"/>
          <w:szCs w:val="20"/>
        </w:rPr>
        <w:t>Cumulative Behaviour Concerns Permanent Exclusion (PEX):</w:t>
      </w:r>
    </w:p>
    <w:p w:rsidR="749708D2" w:rsidP="749708D2" w:rsidRDefault="749708D2" w14:paraId="1CFA835F" w14:textId="7A4714CF">
      <w:pPr>
        <w:pStyle w:val="Heading1"/>
        <w:rPr>
          <w:rFonts w:ascii="Arial" w:hAnsi="Arial" w:eastAsia="Arial" w:cs="Arial"/>
          <w:sz w:val="20"/>
          <w:szCs w:val="20"/>
        </w:rPr>
      </w:pPr>
      <w:r w:rsidRPr="5CEEBD2B" w:rsidR="0CE3B843">
        <w:rPr>
          <w:rFonts w:ascii="Arial" w:hAnsi="Arial" w:eastAsia="Arial" w:cs="Arial"/>
          <w:b w:val="1"/>
          <w:bCs w:val="1"/>
          <w:sz w:val="20"/>
          <w:szCs w:val="20"/>
        </w:rPr>
        <w:t>Evidence, Proportionality and Decision-Making Checklist</w:t>
      </w:r>
    </w:p>
    <w:p w:rsidR="749708D2" w:rsidP="749708D2" w:rsidRDefault="749708D2" w14:paraId="21D8D023" w14:textId="7EA6943B">
      <w:pPr>
        <w:pStyle w:val="Normal"/>
        <w:spacing w:line="300" w:lineRule="auto"/>
        <w:rPr>
          <w:rFonts w:ascii="Arial" w:hAnsi="Arial" w:eastAsia="Arial" w:cs="Arial"/>
          <w:sz w:val="20"/>
          <w:szCs w:val="20"/>
        </w:rPr>
      </w:pPr>
      <w:r w:rsidRPr="5CEEBD2B" w:rsidR="0CE3B843">
        <w:rPr>
          <w:rFonts w:ascii="Arial" w:hAnsi="Arial" w:eastAsia="Arial" w:cs="Arial"/>
          <w:sz w:val="20"/>
          <w:szCs w:val="20"/>
        </w:rPr>
        <w:t xml:space="preserve">Use this checklist to confirm that the pupil passport and supporting paperwork have been completed in line with the Department for Education’s July 2026 statutory guidance, </w:t>
      </w:r>
      <w:r w:rsidRPr="5CEEBD2B" w:rsidR="0CE3B843">
        <w:rPr>
          <w:rFonts w:ascii="Arial" w:hAnsi="Arial" w:eastAsia="Arial" w:cs="Arial"/>
          <w:i w:val="1"/>
          <w:iCs w:val="1"/>
          <w:sz w:val="20"/>
          <w:szCs w:val="20"/>
        </w:rPr>
        <w:t>Suspension and permanent exclusion from maintained schools, academies and pupil referral units in England, including pupil movement</w:t>
      </w:r>
      <w:r w:rsidRPr="5CEEBD2B" w:rsidR="0CE3B843">
        <w:rPr>
          <w:rFonts w:ascii="Arial" w:hAnsi="Arial" w:eastAsia="Arial" w:cs="Arial"/>
          <w:sz w:val="20"/>
          <w:szCs w:val="20"/>
        </w:rPr>
        <w:t>. It reflects the guidance’s emphasis on lawful, reasonable, fair and proportionate decision-making; early information sharing with parents, the local authority, social workers and the Virtual School where relevant; consideration of SEND, equality, safeguarding and pupil voice; suitable education from the sixth school day; and clear transition, reintegration and record-transfer arrangements.</w:t>
      </w:r>
    </w:p>
    <w:p w:rsidR="749708D2" w:rsidP="749708D2" w:rsidRDefault="749708D2" w14:paraId="7B56592C" w14:textId="1F45C691">
      <w:pPr>
        <w:pStyle w:val="Normal"/>
        <w:spacing w:line="300" w:lineRule="auto"/>
        <w:rPr>
          <w:rFonts w:ascii="Arial" w:hAnsi="Arial" w:eastAsia="Arial" w:cs="Arial"/>
          <w:sz w:val="20"/>
          <w:szCs w:val="20"/>
        </w:rPr>
      </w:pPr>
      <w:r w:rsidRPr="5CEEBD2B" w:rsidR="0CE3B843">
        <w:rPr>
          <w:rFonts w:ascii="Arial" w:hAnsi="Arial" w:eastAsia="Arial" w:cs="Arial"/>
          <w:b w:val="1"/>
          <w:bCs w:val="1"/>
          <w:sz w:val="20"/>
          <w:szCs w:val="20"/>
        </w:rPr>
        <w:t>“All fields marked with an asterisk (*) must be included in the PEX pack.”</w:t>
      </w:r>
    </w:p>
    <w:tbl>
      <w:tblPr>
        <w:tblStyle w:val="TableGrid"/>
        <w:tblW w:w="0" w:type="auto"/>
      </w:tblPr>
      <w:tblGrid>
        <w:gridCol w:w="1256"/>
        <w:gridCol w:w="3558"/>
        <w:gridCol w:w="5652"/>
      </w:tblGrid>
      <w:tr w:rsidR="749708D2" w:rsidTr="5CEEBD2B" w14:paraId="10D6A2EE">
        <w:tc>
          <w:tcPr>
            <w:tcW w:w="1256" w:type="dxa"/>
            <w:tcBorders>
              <w:top w:val="single" w:sz="4"/>
              <w:left w:val="single" w:sz="4"/>
              <w:bottom w:val="single" w:sz="4"/>
              <w:right w:val="single" w:sz="4"/>
            </w:tcBorders>
            <w:shd w:val="clear" w:color="auto" w:fill="DAE9F7" w:themeFill="text2" w:themeFillTint="1A"/>
            <w:tcMar/>
          </w:tcPr>
          <w:p w:rsidR="749708D2" w:rsidP="5CEEBD2B" w:rsidRDefault="749708D2" w14:paraId="52EB87B0" w14:textId="7DE16BFC">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b w:val="1"/>
                <w:bCs w:val="1"/>
                <w:sz w:val="20"/>
                <w:szCs w:val="20"/>
              </w:rPr>
              <w:t>Complete</w:t>
            </w:r>
          </w:p>
        </w:tc>
        <w:tc>
          <w:tcPr>
            <w:tcW w:w="3558" w:type="dxa"/>
            <w:tcBorders>
              <w:top w:val="single" w:sz="4"/>
              <w:left w:val="single" w:sz="4"/>
              <w:bottom w:val="single" w:sz="4"/>
              <w:right w:val="single" w:sz="4"/>
            </w:tcBorders>
            <w:shd w:val="clear" w:color="auto" w:fill="DAE9F7" w:themeFill="text2" w:themeFillTint="1A"/>
            <w:tcMar/>
          </w:tcPr>
          <w:p w:rsidR="749708D2" w:rsidP="5CEEBD2B" w:rsidRDefault="749708D2" w14:paraId="52FB9437" w14:textId="5505F947">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b w:val="1"/>
                <w:bCs w:val="1"/>
                <w:sz w:val="20"/>
                <w:szCs w:val="20"/>
              </w:rPr>
              <w:t>Checklist area</w:t>
            </w:r>
          </w:p>
        </w:tc>
        <w:tc>
          <w:tcPr>
            <w:tcW w:w="5652" w:type="dxa"/>
            <w:tcBorders>
              <w:top w:val="single" w:sz="4"/>
              <w:left w:val="single" w:sz="4"/>
              <w:bottom w:val="single" w:sz="4"/>
              <w:right w:val="single" w:sz="4"/>
            </w:tcBorders>
            <w:shd w:val="clear" w:color="auto" w:fill="DAE9F7" w:themeFill="text2" w:themeFillTint="1A"/>
            <w:tcMar/>
          </w:tcPr>
          <w:p w:rsidR="749708D2" w:rsidP="5CEEBD2B" w:rsidRDefault="749708D2" w14:paraId="1E5491CD" w14:textId="5D0A8432">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b w:val="1"/>
                <w:bCs w:val="1"/>
                <w:sz w:val="20"/>
                <w:szCs w:val="20"/>
              </w:rPr>
              <w:t>Evidence / information required</w:t>
            </w:r>
          </w:p>
        </w:tc>
      </w:tr>
      <w:tr w:rsidR="749708D2" w:rsidTr="5CEEBD2B" w14:paraId="2D65A5C7">
        <w:tc>
          <w:tcPr>
            <w:tcW w:w="1256" w:type="dxa"/>
            <w:tcBorders>
              <w:top w:val="single" w:sz="4"/>
              <w:left w:val="single" w:sz="4"/>
              <w:bottom w:val="single" w:sz="4"/>
              <w:right w:val="single" w:sz="4"/>
            </w:tcBorders>
            <w:tcMar/>
          </w:tcPr>
          <w:p w:rsidR="749708D2" w:rsidP="5CEEBD2B" w:rsidRDefault="749708D2" w14:paraId="1645AF70" w14:textId="701E2B57">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01989C91" w14:textId="5D37BCBF">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Same-day exclusion notification</w:t>
            </w:r>
          </w:p>
        </w:tc>
        <w:tc>
          <w:tcPr>
            <w:tcW w:w="5652" w:type="dxa"/>
            <w:tcBorders>
              <w:top w:val="single" w:sz="4"/>
              <w:left w:val="single" w:sz="4"/>
              <w:bottom w:val="single" w:sz="4"/>
              <w:right w:val="single" w:sz="4"/>
            </w:tcBorders>
            <w:tcMar/>
          </w:tcPr>
          <w:p w:rsidR="749708D2" w:rsidP="5CEEBD2B" w:rsidRDefault="749708D2" w14:paraId="53E1C066" w14:textId="173713DA">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Urgent risk checklist and Section 1 completed and sent to Exclusions@birmingham.gov.uk without delay on the day of the permanent exclusion. Parents, the local authority, governing board, social worker and Virtual School Head notified without delay where applicable.</w:t>
            </w:r>
          </w:p>
        </w:tc>
      </w:tr>
      <w:tr w:rsidR="749708D2" w:rsidTr="5CEEBD2B" w14:paraId="35502EE6">
        <w:tc>
          <w:tcPr>
            <w:tcW w:w="1256" w:type="dxa"/>
            <w:tcBorders>
              <w:top w:val="single" w:sz="4"/>
              <w:left w:val="single" w:sz="4"/>
              <w:bottom w:val="single" w:sz="4"/>
              <w:right w:val="single" w:sz="4"/>
            </w:tcBorders>
            <w:tcMar/>
          </w:tcPr>
          <w:p w:rsidR="749708D2" w:rsidP="5CEEBD2B" w:rsidRDefault="749708D2" w14:paraId="3647FDE5" w14:textId="0E34DE35">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0A43265C" w14:textId="164A57C9">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Pupil and family details</w:t>
            </w:r>
          </w:p>
        </w:tc>
        <w:tc>
          <w:tcPr>
            <w:tcW w:w="5652" w:type="dxa"/>
            <w:tcBorders>
              <w:top w:val="single" w:sz="4"/>
              <w:left w:val="single" w:sz="4"/>
              <w:bottom w:val="single" w:sz="4"/>
              <w:right w:val="single" w:sz="4"/>
            </w:tcBorders>
            <w:tcMar/>
          </w:tcPr>
          <w:p w:rsidR="749708D2" w:rsidP="5CEEBD2B" w:rsidRDefault="749708D2" w14:paraId="7A5BE78B" w14:textId="5039BDA2">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Pupil name, preferred name, date of birth, year group, gender, ethnicity, UPN/ULN, home authority, parent/carer names, parental responsibility, addresses, phone numbers, email addresses and preferred communication need to be included.</w:t>
            </w:r>
          </w:p>
        </w:tc>
      </w:tr>
      <w:tr w:rsidR="749708D2" w:rsidTr="5CEEBD2B" w14:paraId="2B20D6FB">
        <w:tc>
          <w:tcPr>
            <w:tcW w:w="1256" w:type="dxa"/>
            <w:tcBorders>
              <w:top w:val="single" w:sz="4"/>
              <w:left w:val="single" w:sz="4"/>
              <w:bottom w:val="single" w:sz="4"/>
              <w:right w:val="single" w:sz="4"/>
            </w:tcBorders>
            <w:tcMar/>
          </w:tcPr>
          <w:p w:rsidR="749708D2" w:rsidP="5CEEBD2B" w:rsidRDefault="749708D2" w14:paraId="30052D1D" w14:textId="2ECC3433">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1041B468" w14:textId="4B2A8B0C">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Exclusion decision and rationale</w:t>
            </w:r>
          </w:p>
        </w:tc>
        <w:tc>
          <w:tcPr>
            <w:tcW w:w="5652" w:type="dxa"/>
            <w:tcBorders>
              <w:top w:val="single" w:sz="4"/>
              <w:left w:val="single" w:sz="4"/>
              <w:bottom w:val="single" w:sz="4"/>
              <w:right w:val="single" w:sz="4"/>
            </w:tcBorders>
            <w:tcMar/>
          </w:tcPr>
          <w:p w:rsidR="749708D2" w:rsidP="5CEEBD2B" w:rsidRDefault="749708D2" w14:paraId="0EED84BF" w14:textId="49B18340">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Reason for permanent exclusion, incident summary, whether one-off or cumulative, start date, behaviour policy link, balance of probabilities findings and clear evidence that the decision was lawful, reasonable, fair, proportionate and used only as a last resort. The rationale must explain why allowing the pupil to return would seriously harm education or welfare, not simply state this as a conclusion.</w:t>
            </w:r>
          </w:p>
        </w:tc>
      </w:tr>
      <w:tr w:rsidR="749708D2" w:rsidTr="5CEEBD2B" w14:paraId="0DCF4FEE">
        <w:tc>
          <w:tcPr>
            <w:tcW w:w="1256" w:type="dxa"/>
            <w:tcBorders>
              <w:top w:val="single" w:sz="4"/>
              <w:left w:val="single" w:sz="4"/>
              <w:bottom w:val="single" w:sz="4"/>
              <w:right w:val="single" w:sz="4"/>
            </w:tcBorders>
            <w:tcMar/>
          </w:tcPr>
          <w:p w:rsidR="749708D2" w:rsidP="5CEEBD2B" w:rsidRDefault="749708D2" w14:paraId="5A182F04" w14:textId="3059A3A1">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58CE516A" w14:textId="09978407">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Formal exclusion paperwork</w:t>
            </w:r>
          </w:p>
        </w:tc>
        <w:tc>
          <w:tcPr>
            <w:tcW w:w="5652" w:type="dxa"/>
            <w:tcBorders>
              <w:top w:val="single" w:sz="4"/>
              <w:left w:val="single" w:sz="4"/>
              <w:bottom w:val="single" w:sz="4"/>
              <w:right w:val="single" w:sz="4"/>
            </w:tcBorders>
            <w:tcMar/>
          </w:tcPr>
          <w:p w:rsidR="749708D2" w:rsidP="5CEEBD2B" w:rsidRDefault="749708D2" w14:paraId="55C022A6" w14:textId="47A30A11">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Permanent exclusion letter, previous suspension letters, notice of parent rights, remote access meeting request information, public-place duty notice, alternative provision details where known, right to make representations and sources of impartial advice included.</w:t>
            </w:r>
          </w:p>
        </w:tc>
      </w:tr>
      <w:tr w:rsidR="749708D2" w:rsidTr="5CEEBD2B" w14:paraId="17E55D3E">
        <w:tc>
          <w:tcPr>
            <w:tcW w:w="1256" w:type="dxa"/>
            <w:tcBorders>
              <w:top w:val="single" w:sz="4"/>
              <w:left w:val="single" w:sz="4"/>
              <w:bottom w:val="single" w:sz="4"/>
              <w:right w:val="single" w:sz="4"/>
            </w:tcBorders>
            <w:tcMar/>
          </w:tcPr>
          <w:p w:rsidR="749708D2" w:rsidP="5CEEBD2B" w:rsidRDefault="749708D2" w14:paraId="3CC7C330" w14:textId="6EAB3FDC">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3A0E3135" w14:textId="59667E8E">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Supporting exclusion evidence</w:t>
            </w:r>
          </w:p>
        </w:tc>
        <w:tc>
          <w:tcPr>
            <w:tcW w:w="5652" w:type="dxa"/>
            <w:tcBorders>
              <w:top w:val="single" w:sz="4"/>
              <w:left w:val="single" w:sz="4"/>
              <w:bottom w:val="single" w:sz="4"/>
              <w:right w:val="single" w:sz="4"/>
            </w:tcBorders>
            <w:tcMar/>
          </w:tcPr>
          <w:p w:rsidR="749708D2" w:rsidP="5CEEBD2B" w:rsidRDefault="749708D2" w14:paraId="42C1D9A7" w14:textId="21058E0C">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Behaviour chronology/log, witness accounts, incident summary, pupil account, parental contact records, relevant governor warnings/minutes, physical or photographic evidence, accident reports and records of previous support included where relevant. For serious one-off incidents, include clear factual findings on what is accepted, what is disputed, intent, pupil understanding, whether harm was intended or likely, and how SEND or other vulnerabilities affected judgement or behaviour.</w:t>
            </w:r>
          </w:p>
        </w:tc>
      </w:tr>
      <w:tr w:rsidR="749708D2" w:rsidTr="5CEEBD2B" w14:paraId="4643DD64">
        <w:tc>
          <w:tcPr>
            <w:tcW w:w="1256" w:type="dxa"/>
            <w:tcBorders>
              <w:top w:val="single" w:sz="4"/>
              <w:left w:val="single" w:sz="4"/>
              <w:bottom w:val="single" w:sz="4"/>
              <w:right w:val="single" w:sz="4"/>
            </w:tcBorders>
            <w:tcMar/>
          </w:tcPr>
          <w:p w:rsidR="749708D2" w:rsidP="5CEEBD2B" w:rsidRDefault="749708D2" w14:paraId="4A957081" w14:textId="0445165F">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78843CDC" w14:textId="63CCAE54">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CCTV and key evidence disclosure</w:t>
            </w:r>
          </w:p>
        </w:tc>
        <w:tc>
          <w:tcPr>
            <w:tcW w:w="5652" w:type="dxa"/>
            <w:tcBorders>
              <w:top w:val="single" w:sz="4"/>
              <w:left w:val="single" w:sz="4"/>
              <w:bottom w:val="single" w:sz="4"/>
              <w:right w:val="single" w:sz="4"/>
            </w:tcBorders>
            <w:tcMar/>
          </w:tcPr>
          <w:p w:rsidR="749708D2" w:rsidP="5CEEBD2B" w:rsidRDefault="749708D2" w14:paraId="3D5A3672" w14:textId="435C64C0">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Confirm whether CCTV, images or other key evidence has been viewed by the headteacher, shared fairly with parents/carers where lawful, made available to all panel members, and redacted or blurred where necessary to protect other children’s personal data.</w:t>
            </w:r>
          </w:p>
        </w:tc>
      </w:tr>
      <w:tr w:rsidR="749708D2" w:rsidTr="5CEEBD2B" w14:paraId="24DEBA10">
        <w:tc>
          <w:tcPr>
            <w:tcW w:w="1256" w:type="dxa"/>
            <w:tcBorders>
              <w:top w:val="single" w:sz="4"/>
              <w:left w:val="single" w:sz="4"/>
              <w:bottom w:val="single" w:sz="4"/>
              <w:right w:val="single" w:sz="4"/>
            </w:tcBorders>
            <w:tcMar/>
          </w:tcPr>
          <w:p w:rsidR="749708D2" w:rsidP="5CEEBD2B" w:rsidRDefault="749708D2" w14:paraId="54E50C7C" w14:textId="31A52FAC">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1ED22718" w14:textId="5B33B294">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 xml:space="preserve">Attendance and educational profile </w:t>
            </w:r>
            <w:r w:rsidRPr="5CEEBD2B" w:rsidR="0CE3B843">
              <w:rPr>
                <w:rFonts w:ascii="Arial" w:hAnsi="Arial" w:eastAsia="Arial" w:cs="Arial"/>
                <w:b w:val="1"/>
                <w:bCs w:val="1"/>
                <w:sz w:val="20"/>
                <w:szCs w:val="20"/>
              </w:rPr>
              <w:t>(*)</w:t>
            </w:r>
          </w:p>
        </w:tc>
        <w:tc>
          <w:tcPr>
            <w:tcW w:w="5652" w:type="dxa"/>
            <w:tcBorders>
              <w:top w:val="single" w:sz="4"/>
              <w:left w:val="single" w:sz="4"/>
              <w:bottom w:val="single" w:sz="4"/>
              <w:right w:val="single" w:sz="4"/>
            </w:tcBorders>
            <w:tcMar/>
          </w:tcPr>
          <w:p w:rsidR="749708D2" w:rsidP="5CEEBD2B" w:rsidRDefault="749708D2" w14:paraId="68C960E6" w14:textId="5FD250FA">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Attendance and punctuality data, ensure that dates used in suspension letters are checked against the pupil’s attendance record and that they match, exclusion history including cumulative days in the academic year, curriculum, attainment, progress, public examinations or national curriculum tests affected, positive interests, achievements, strengths and learning barriers included.</w:t>
            </w:r>
          </w:p>
        </w:tc>
      </w:tr>
      <w:tr w:rsidR="749708D2" w:rsidTr="5CEEBD2B" w14:paraId="614A6B02">
        <w:tc>
          <w:tcPr>
            <w:tcW w:w="1256" w:type="dxa"/>
            <w:tcBorders>
              <w:top w:val="single" w:sz="4"/>
              <w:left w:val="single" w:sz="4"/>
              <w:bottom w:val="single" w:sz="4"/>
              <w:right w:val="single" w:sz="4"/>
            </w:tcBorders>
            <w:tcMar/>
          </w:tcPr>
          <w:p w:rsidR="749708D2" w:rsidP="5CEEBD2B" w:rsidRDefault="749708D2" w14:paraId="044B7D28" w14:textId="1FE42609">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477C3AB4" w14:textId="1446C996">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 xml:space="preserve">SEND, EHCP, equality and health </w:t>
            </w:r>
            <w:r w:rsidRPr="5CEEBD2B" w:rsidR="0CE3B843">
              <w:rPr>
                <w:rFonts w:ascii="Arial" w:hAnsi="Arial" w:eastAsia="Arial" w:cs="Arial"/>
                <w:b w:val="1"/>
                <w:bCs w:val="1"/>
                <w:sz w:val="20"/>
                <w:szCs w:val="20"/>
              </w:rPr>
              <w:t>(*)</w:t>
            </w:r>
          </w:p>
        </w:tc>
        <w:tc>
          <w:tcPr>
            <w:tcW w:w="5652" w:type="dxa"/>
            <w:tcBorders>
              <w:top w:val="single" w:sz="4"/>
              <w:left w:val="single" w:sz="4"/>
              <w:bottom w:val="single" w:sz="4"/>
              <w:right w:val="single" w:sz="4"/>
            </w:tcBorders>
            <w:tcMar/>
          </w:tcPr>
          <w:p w:rsidR="749708D2" w:rsidP="5CEEBD2B" w:rsidRDefault="749708D2" w14:paraId="72D27C31" w14:textId="3933BED8">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SEN status, EHCNA/EHCP status, case worker details, reasonable adjustments considered, equality duties considered, SSPP, SEND reports, access arrangements, diagnoses, medical needs, medication, health plans, mental health support and whether an early annual review or EHC assessment/review was considered included. Explain how SEND, SEMH, disability or health needs may have affected understanding, impulsivity, regulation, risk and ability to engage with support.</w:t>
            </w:r>
          </w:p>
        </w:tc>
      </w:tr>
      <w:tr w:rsidR="749708D2" w:rsidTr="5CEEBD2B" w14:paraId="471B4A9A">
        <w:tc>
          <w:tcPr>
            <w:tcW w:w="1256" w:type="dxa"/>
            <w:tcBorders>
              <w:top w:val="single" w:sz="4"/>
              <w:left w:val="single" w:sz="4"/>
              <w:bottom w:val="single" w:sz="4"/>
              <w:right w:val="single" w:sz="4"/>
            </w:tcBorders>
            <w:tcMar/>
          </w:tcPr>
          <w:p w:rsidR="749708D2" w:rsidP="5CEEBD2B" w:rsidRDefault="749708D2" w14:paraId="5EE1ADCE" w14:textId="399E0AAA">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021AC829" w14:textId="737524A1">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 xml:space="preserve">Safeguarding and social care </w:t>
            </w:r>
            <w:r w:rsidRPr="5CEEBD2B" w:rsidR="0CE3B843">
              <w:rPr>
                <w:rFonts w:ascii="Arial" w:hAnsi="Arial" w:eastAsia="Arial" w:cs="Arial"/>
                <w:b w:val="1"/>
                <w:bCs w:val="1"/>
                <w:sz w:val="20"/>
                <w:szCs w:val="20"/>
              </w:rPr>
              <w:t>(*)</w:t>
            </w:r>
          </w:p>
        </w:tc>
        <w:tc>
          <w:tcPr>
            <w:tcW w:w="5652" w:type="dxa"/>
            <w:tcBorders>
              <w:top w:val="single" w:sz="4"/>
              <w:left w:val="single" w:sz="4"/>
              <w:bottom w:val="single" w:sz="4"/>
              <w:right w:val="single" w:sz="4"/>
            </w:tcBorders>
            <w:tcMar/>
          </w:tcPr>
          <w:p w:rsidR="749708D2" w:rsidP="5CEEBD2B" w:rsidRDefault="749708D2" w14:paraId="0533ED15" w14:textId="445B12EA">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Early Help, CP/CIN, CLA/PLAC, social worker details, Designated Safeguarding Lead input, Virtual School involvement where relevant, safeguarding concerns, missing episodes, contextual safeguarding, exploitation, gang association, serious youth violence, online safety, risk assessments and protective factors included.</w:t>
            </w:r>
          </w:p>
        </w:tc>
      </w:tr>
      <w:tr w:rsidR="749708D2" w:rsidTr="5CEEBD2B" w14:paraId="673C398F">
        <w:tc>
          <w:tcPr>
            <w:tcW w:w="1256" w:type="dxa"/>
            <w:tcBorders>
              <w:top w:val="single" w:sz="4"/>
              <w:left w:val="single" w:sz="4"/>
              <w:bottom w:val="single" w:sz="4"/>
              <w:right w:val="single" w:sz="4"/>
            </w:tcBorders>
            <w:tcMar/>
          </w:tcPr>
          <w:p w:rsidR="749708D2" w:rsidP="5CEEBD2B" w:rsidRDefault="749708D2" w14:paraId="29A315EF" w14:textId="1C1E0794">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3B2C6841" w14:textId="591C083B">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 xml:space="preserve">Behaviour support and preventative intervention </w:t>
            </w:r>
            <w:r w:rsidRPr="5CEEBD2B" w:rsidR="0CE3B843">
              <w:rPr>
                <w:rFonts w:ascii="Arial" w:hAnsi="Arial" w:eastAsia="Arial" w:cs="Arial"/>
                <w:b w:val="1"/>
                <w:bCs w:val="1"/>
                <w:sz w:val="20"/>
                <w:szCs w:val="20"/>
              </w:rPr>
              <w:t>(*)</w:t>
            </w:r>
          </w:p>
        </w:tc>
        <w:tc>
          <w:tcPr>
            <w:tcW w:w="5652" w:type="dxa"/>
            <w:tcBorders>
              <w:top w:val="single" w:sz="4"/>
              <w:left w:val="single" w:sz="4"/>
              <w:bottom w:val="single" w:sz="4"/>
              <w:right w:val="single" w:sz="4"/>
            </w:tcBorders>
            <w:tcMar/>
          </w:tcPr>
          <w:p w:rsidR="749708D2" w:rsidP="5CEEBD2B" w:rsidRDefault="749708D2" w14:paraId="3F4B8B65" w14:textId="43BAA3D4">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Previous difficulties, early intervention, PSP/IBP/IEP/behaviour plans, mentoring, counselling, outreach, off-site direction, managed move discussions, alternative provision, reintegration with additional support, risk management plan, further suspension where appropriate, impact of support, de-escalation strategies, motivators and reasons why lesser measures or further intervention would not sufficiently protect against serious harm included.</w:t>
            </w:r>
          </w:p>
        </w:tc>
      </w:tr>
      <w:tr w:rsidR="749708D2" w:rsidTr="5CEEBD2B" w14:paraId="5704A94C">
        <w:tc>
          <w:tcPr>
            <w:tcW w:w="1256" w:type="dxa"/>
            <w:tcBorders>
              <w:top w:val="single" w:sz="4"/>
              <w:left w:val="single" w:sz="4"/>
              <w:bottom w:val="single" w:sz="4"/>
              <w:right w:val="single" w:sz="4"/>
            </w:tcBorders>
            <w:tcMar/>
          </w:tcPr>
          <w:p w:rsidR="749708D2" w:rsidP="5CEEBD2B" w:rsidRDefault="749708D2" w14:paraId="5A7162A4" w14:textId="04947BC0">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5C14DB27" w14:textId="382444E8">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 xml:space="preserve">Multi-agency involvement </w:t>
            </w:r>
            <w:r w:rsidRPr="5CEEBD2B" w:rsidR="0CE3B843">
              <w:rPr>
                <w:rFonts w:ascii="Arial" w:hAnsi="Arial" w:eastAsia="Arial" w:cs="Arial"/>
                <w:b w:val="1"/>
                <w:bCs w:val="1"/>
                <w:sz w:val="20"/>
                <w:szCs w:val="20"/>
              </w:rPr>
              <w:t>(*)</w:t>
            </w:r>
          </w:p>
        </w:tc>
        <w:tc>
          <w:tcPr>
            <w:tcW w:w="5652" w:type="dxa"/>
            <w:tcBorders>
              <w:top w:val="single" w:sz="4"/>
              <w:left w:val="single" w:sz="4"/>
              <w:bottom w:val="single" w:sz="4"/>
              <w:right w:val="single" w:sz="4"/>
            </w:tcBorders>
            <w:tcMar/>
          </w:tcPr>
          <w:p w:rsidR="749708D2" w:rsidP="5CEEBD2B" w:rsidRDefault="749708D2" w14:paraId="39328CA6" w14:textId="7DC00991">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Education Welfare, Educational Psychology, Forward Thinking Birmingham/CAMHS/MHST, Youth Justice, police, Empower U, Virtual School, SENAR, health and other agency involvement included with names, contacts, dates, advice, actions, review arrangements and any unresolved risks. Translator required/access arrangements.</w:t>
            </w:r>
          </w:p>
        </w:tc>
      </w:tr>
      <w:tr w:rsidR="749708D2" w:rsidTr="5CEEBD2B" w14:paraId="61BF57C1">
        <w:tc>
          <w:tcPr>
            <w:tcW w:w="1256" w:type="dxa"/>
            <w:tcBorders>
              <w:top w:val="single" w:sz="4"/>
              <w:left w:val="single" w:sz="4"/>
              <w:bottom w:val="single" w:sz="4"/>
              <w:right w:val="single" w:sz="4"/>
            </w:tcBorders>
            <w:tcMar/>
          </w:tcPr>
          <w:p w:rsidR="749708D2" w:rsidP="5CEEBD2B" w:rsidRDefault="749708D2" w14:paraId="57EB33DA" w14:textId="42AC44A7">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5625F290" w14:textId="7FFE272A">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 xml:space="preserve">Pupil voice and participation </w:t>
            </w:r>
            <w:r w:rsidRPr="5CEEBD2B" w:rsidR="0CE3B843">
              <w:rPr>
                <w:rFonts w:ascii="Arial" w:hAnsi="Arial" w:eastAsia="Arial" w:cs="Arial"/>
                <w:b w:val="1"/>
                <w:bCs w:val="1"/>
                <w:sz w:val="20"/>
                <w:szCs w:val="20"/>
              </w:rPr>
              <w:t>(*)</w:t>
            </w:r>
          </w:p>
        </w:tc>
        <w:tc>
          <w:tcPr>
            <w:tcW w:w="5652" w:type="dxa"/>
            <w:tcBorders>
              <w:top w:val="single" w:sz="4"/>
              <w:left w:val="single" w:sz="4"/>
              <w:bottom w:val="single" w:sz="4"/>
              <w:right w:val="single" w:sz="4"/>
            </w:tcBorders>
            <w:tcMar/>
          </w:tcPr>
          <w:p w:rsidR="749708D2" w:rsidP="5CEEBD2B" w:rsidRDefault="749708D2" w14:paraId="61996B30" w14:textId="4C99C96C">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Pupil views gathered and recorded, with support to express their views where needed, including learning preferences, strengths, barriers, subjects, goals, support needs, trusted adults and how their views were considered in the exclusion and transition process.</w:t>
            </w:r>
          </w:p>
        </w:tc>
      </w:tr>
      <w:tr w:rsidR="749708D2" w:rsidTr="5CEEBD2B" w14:paraId="1A92DCFD">
        <w:tc>
          <w:tcPr>
            <w:tcW w:w="1256" w:type="dxa"/>
            <w:tcBorders>
              <w:top w:val="single" w:sz="4"/>
              <w:left w:val="single" w:sz="4"/>
              <w:bottom w:val="single" w:sz="4"/>
              <w:right w:val="single" w:sz="4"/>
            </w:tcBorders>
            <w:tcMar/>
          </w:tcPr>
          <w:p w:rsidR="749708D2" w:rsidP="5CEEBD2B" w:rsidRDefault="749708D2" w14:paraId="04468422" w14:textId="01521F64">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69AC9DBD" w14:textId="621A8AD0">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 xml:space="preserve">Education during exclusion </w:t>
            </w:r>
            <w:r w:rsidRPr="5CEEBD2B" w:rsidR="0CE3B843">
              <w:rPr>
                <w:rFonts w:ascii="Arial" w:hAnsi="Arial" w:eastAsia="Arial" w:cs="Arial"/>
                <w:b w:val="1"/>
                <w:bCs w:val="1"/>
                <w:sz w:val="20"/>
                <w:szCs w:val="20"/>
              </w:rPr>
              <w:t>(*)</w:t>
            </w:r>
          </w:p>
        </w:tc>
        <w:tc>
          <w:tcPr>
            <w:tcW w:w="5652" w:type="dxa"/>
            <w:tcBorders>
              <w:top w:val="single" w:sz="4"/>
              <w:left w:val="single" w:sz="4"/>
              <w:bottom w:val="single" w:sz="4"/>
              <w:right w:val="single" w:sz="4"/>
            </w:tcBorders>
            <w:tcMar/>
          </w:tcPr>
          <w:p w:rsidR="749708D2" w:rsidP="5CEEBD2B" w:rsidRDefault="749708D2" w14:paraId="5B2C7034" w14:textId="610F120A">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Work set and marked for the first five school days where alternative provision has not started; suitable full-time education arranged from the sixth school day; first-day provision considered for children with a social worker or looked-after children; attendance coding, transport considerations and accessibility of online work recorded.</w:t>
            </w:r>
          </w:p>
        </w:tc>
      </w:tr>
      <w:tr w:rsidR="749708D2" w:rsidTr="5CEEBD2B" w14:paraId="120AE5BC">
        <w:tc>
          <w:tcPr>
            <w:tcW w:w="1256" w:type="dxa"/>
            <w:tcBorders>
              <w:top w:val="single" w:sz="4"/>
              <w:left w:val="single" w:sz="4"/>
              <w:bottom w:val="single" w:sz="4"/>
              <w:right w:val="single" w:sz="4"/>
            </w:tcBorders>
            <w:tcMar/>
          </w:tcPr>
          <w:p w:rsidR="749708D2" w:rsidP="5CEEBD2B" w:rsidRDefault="749708D2" w14:paraId="2B72DECC" w14:textId="4FEC6948">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7EBB475F" w14:textId="0AAE4CDA">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Governor consideration and review process</w:t>
            </w:r>
          </w:p>
        </w:tc>
        <w:tc>
          <w:tcPr>
            <w:tcW w:w="5652" w:type="dxa"/>
            <w:tcBorders>
              <w:top w:val="single" w:sz="4"/>
              <w:left w:val="single" w:sz="4"/>
              <w:bottom w:val="single" w:sz="4"/>
              <w:right w:val="single" w:sz="4"/>
            </w:tcBorders>
            <w:tcMar/>
          </w:tcPr>
          <w:p w:rsidR="7B37AAC4" w:rsidP="5CEEBD2B" w:rsidRDefault="7B37AAC4" w14:paraId="24967392" w14:textId="10AD4532">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34BF9F4A">
              <w:rPr>
                <w:rFonts w:ascii="Arial" w:hAnsi="Arial" w:eastAsia="Arial" w:cs="Arial"/>
                <w:sz w:val="20"/>
                <w:szCs w:val="20"/>
              </w:rPr>
              <w:t>Governor's meeting date, statutory timescale, invitation to parents, pupil, headteacher, local authority, social worker and Virtual School where relevant, evidence bundle, minutes, reinstatement decision, written outcome and IRP information recorded. Minutes and outcome letter must show independent consideration, challenge, reasons for refusing or agreeing reinstatement, consideration of lesser measures, and clear reasoning rather than asserted conclusions. Maintained schools must provide families with the appeals email address edappealsadmin@birmingham.gov.uk in all Governing Board Discipline Committee (GDC) decision letters.</w:t>
            </w:r>
          </w:p>
        </w:tc>
      </w:tr>
      <w:tr w:rsidR="749708D2" w:rsidTr="5CEEBD2B" w14:paraId="5AF423CD">
        <w:tc>
          <w:tcPr>
            <w:tcW w:w="1256" w:type="dxa"/>
            <w:tcBorders>
              <w:top w:val="single" w:sz="4"/>
              <w:left w:val="single" w:sz="4"/>
              <w:bottom w:val="single" w:sz="4"/>
              <w:right w:val="single" w:sz="4"/>
            </w:tcBorders>
            <w:tcMar/>
          </w:tcPr>
          <w:p w:rsidR="749708D2" w:rsidP="5CEEBD2B" w:rsidRDefault="749708D2" w14:paraId="0629407A" w14:textId="2C5C5238">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4AEA732D" w14:textId="2AAD4A28">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Transition, reintegration and placement planning</w:t>
            </w:r>
          </w:p>
        </w:tc>
        <w:tc>
          <w:tcPr>
            <w:tcW w:w="5652" w:type="dxa"/>
            <w:tcBorders>
              <w:top w:val="single" w:sz="4"/>
              <w:left w:val="single" w:sz="4"/>
              <w:bottom w:val="single" w:sz="4"/>
              <w:right w:val="single" w:sz="4"/>
            </w:tcBorders>
            <w:tcMar/>
          </w:tcPr>
          <w:p w:rsidR="749708D2" w:rsidP="5CEEBD2B" w:rsidRDefault="749708D2" w14:paraId="746E04DD" w14:textId="4DB1EA8B">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PRU/COBS admission details, Sharing Panel information, school offer, transition meetings, visits, reintegration strategy where relevant, safeguarding transfer, behaviour plan review, admission date, review meetings and next steps completed. Include the likely impact of permanent exclusion on the pupil’s education, emotional wellbeing, relationships, support arrangements and transition to any new setting.</w:t>
            </w:r>
          </w:p>
        </w:tc>
      </w:tr>
      <w:tr w:rsidR="749708D2" w:rsidTr="5CEEBD2B" w14:paraId="21BC9D59">
        <w:tc>
          <w:tcPr>
            <w:tcW w:w="1256" w:type="dxa"/>
            <w:tcBorders>
              <w:top w:val="single" w:sz="4"/>
              <w:left w:val="single" w:sz="4"/>
              <w:bottom w:val="single" w:sz="4"/>
              <w:right w:val="single" w:sz="4"/>
            </w:tcBorders>
            <w:tcMar/>
          </w:tcPr>
          <w:p w:rsidR="749708D2" w:rsidP="5CEEBD2B" w:rsidRDefault="749708D2" w14:paraId="0FF522B3" w14:textId="1D90BA3B">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274E66AE" w14:textId="2BA23176">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Register, records and secure transfer</w:t>
            </w:r>
          </w:p>
        </w:tc>
        <w:tc>
          <w:tcPr>
            <w:tcW w:w="5652" w:type="dxa"/>
            <w:tcBorders>
              <w:top w:val="single" w:sz="4"/>
              <w:left w:val="single" w:sz="4"/>
              <w:bottom w:val="single" w:sz="4"/>
              <w:right w:val="single" w:sz="4"/>
            </w:tcBorders>
            <w:tcMar/>
          </w:tcPr>
          <w:p w:rsidR="749708D2" w:rsidP="5CEEBD2B" w:rsidRDefault="749708D2" w14:paraId="2D3B1F6C" w14:textId="3AB10EBE">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Register removal completed only after the required timescale or IRP process; local authority return completed where applicable; Common Transfer File and child protection file transferred securely and promptly; relevant paperwork shared securely with governors, parent/carer, Exclusions Team, PRU/COBS or receiving school, social worker, Virtual School and other agencies where appropriate. Headteacher and partner sign-off completed.</w:t>
            </w:r>
          </w:p>
        </w:tc>
      </w:tr>
      <w:tr w:rsidR="749708D2" w:rsidTr="5CEEBD2B" w14:paraId="67E30DA6">
        <w:tc>
          <w:tcPr>
            <w:tcW w:w="1256" w:type="dxa"/>
            <w:tcBorders>
              <w:top w:val="single" w:sz="4"/>
              <w:left w:val="single" w:sz="4"/>
              <w:bottom w:val="single" w:sz="4"/>
              <w:right w:val="single" w:sz="4"/>
            </w:tcBorders>
            <w:tcMar/>
          </w:tcPr>
          <w:p w:rsidR="749708D2" w:rsidP="5CEEBD2B" w:rsidRDefault="749708D2" w14:paraId="5781A0D6" w14:textId="7AF892DF">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w:t>
            </w:r>
          </w:p>
        </w:tc>
        <w:tc>
          <w:tcPr>
            <w:tcW w:w="3558" w:type="dxa"/>
            <w:tcBorders>
              <w:top w:val="single" w:sz="4"/>
              <w:left w:val="single" w:sz="4"/>
              <w:bottom w:val="single" w:sz="4"/>
              <w:right w:val="single" w:sz="4"/>
            </w:tcBorders>
            <w:tcMar/>
          </w:tcPr>
          <w:p w:rsidR="749708D2" w:rsidP="5CEEBD2B" w:rsidRDefault="749708D2" w14:paraId="2E3F2AFB" w14:textId="2312023D">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IRP-readiness quality assurance</w:t>
            </w:r>
          </w:p>
        </w:tc>
        <w:tc>
          <w:tcPr>
            <w:tcW w:w="5652" w:type="dxa"/>
            <w:tcBorders>
              <w:top w:val="single" w:sz="4"/>
              <w:left w:val="single" w:sz="4"/>
              <w:bottom w:val="single" w:sz="4"/>
              <w:right w:val="single" w:sz="4"/>
            </w:tcBorders>
            <w:tcMar/>
          </w:tcPr>
          <w:p w:rsidR="749708D2" w:rsidP="5CEEBD2B" w:rsidRDefault="749708D2" w14:paraId="6D0AD357" w14:textId="2BAD615A">
            <w:pPr>
              <w:pStyle w:val="Normal"/>
              <w:pBdr>
                <w:top w:val="single" w:color="FF000000" w:sz="4" w:space="4"/>
                <w:left w:val="single" w:color="FF000000" w:sz="4" w:space="4"/>
                <w:bottom w:val="single" w:color="FF000000" w:sz="4" w:space="4"/>
                <w:right w:val="single" w:color="FF000000" w:sz="4" w:space="4"/>
              </w:pBdr>
              <w:rPr>
                <w:rFonts w:ascii="Arial" w:hAnsi="Arial" w:eastAsia="Arial" w:cs="Arial"/>
                <w:sz w:val="20"/>
                <w:szCs w:val="20"/>
              </w:rPr>
            </w:pPr>
            <w:r w:rsidRPr="5CEEBD2B" w:rsidR="0CE3B843">
              <w:rPr>
                <w:rFonts w:ascii="Arial" w:hAnsi="Arial" w:eastAsia="Arial" w:cs="Arial"/>
                <w:sz w:val="20"/>
                <w:szCs w:val="20"/>
              </w:rPr>
              <w:t>Final check completed to ensure an independent reviewer can understand why permanent exclusion was necessary, what evidence was relied upon, how serious harm and proportionality were assessed, why alternatives were rejected, and how the principal issues were addressed.</w:t>
            </w:r>
          </w:p>
        </w:tc>
      </w:tr>
    </w:tbl>
    <w:p w:rsidR="25F3D617" w:rsidP="25F3D617" w:rsidRDefault="25F3D617" w14:paraId="7499D711" w14:textId="0886926D">
      <w:pPr>
        <w:pStyle w:val="Heading1"/>
        <w:rPr>
          <w:rFonts w:ascii="Arial" w:hAnsi="Arial" w:eastAsia="Arial" w:cs="Arial"/>
          <w:sz w:val="30"/>
          <w:szCs w:val="30"/>
        </w:rPr>
      </w:pPr>
    </w:p>
    <w:p w:rsidR="749708D2" w:rsidP="749708D2" w:rsidRDefault="749708D2" w14:paraId="2551D18B" w14:textId="56554064">
      <w:pPr>
        <w:pStyle w:val="Normal"/>
      </w:pPr>
    </w:p>
    <w:p w:rsidR="749708D2" w:rsidP="749708D2" w:rsidRDefault="749708D2" w14:paraId="143B9B9C" w14:textId="77176EA5">
      <w:pPr>
        <w:pStyle w:val="Normal"/>
      </w:pPr>
    </w:p>
    <w:p w:rsidR="749708D2" w:rsidP="749708D2" w:rsidRDefault="749708D2" w14:paraId="391C0BDB" w14:textId="1700578B">
      <w:pPr>
        <w:pStyle w:val="Normal"/>
      </w:pPr>
    </w:p>
    <w:p w:rsidR="749708D2" w:rsidP="749708D2" w:rsidRDefault="749708D2" w14:paraId="25A0F967" w14:textId="3D8BC3A6">
      <w:pPr>
        <w:pStyle w:val="Normal"/>
      </w:pPr>
    </w:p>
    <w:p w:rsidR="749708D2" w:rsidP="749708D2" w:rsidRDefault="749708D2" w14:paraId="2DC58261" w14:textId="21B82A1E">
      <w:pPr>
        <w:pStyle w:val="Normal"/>
      </w:pPr>
    </w:p>
    <w:p w:rsidR="749708D2" w:rsidP="749708D2" w:rsidRDefault="749708D2" w14:paraId="2B12C8D2" w14:textId="3D806505">
      <w:pPr>
        <w:pStyle w:val="Normal"/>
      </w:pPr>
    </w:p>
    <w:p w:rsidR="749708D2" w:rsidP="749708D2" w:rsidRDefault="749708D2" w14:paraId="01B6ABDF" w14:textId="30B94FB1">
      <w:pPr>
        <w:pStyle w:val="Normal"/>
      </w:pPr>
    </w:p>
    <w:p w:rsidR="749708D2" w:rsidP="749708D2" w:rsidRDefault="749708D2" w14:paraId="62103FAC" w14:textId="6AA44596">
      <w:pPr>
        <w:pStyle w:val="Normal"/>
      </w:pPr>
    </w:p>
    <w:p w:rsidR="749708D2" w:rsidP="749708D2" w:rsidRDefault="749708D2" w14:paraId="24CE7EEA" w14:textId="2A60639F">
      <w:pPr>
        <w:pStyle w:val="Normal"/>
      </w:pPr>
    </w:p>
    <w:p w:rsidR="749708D2" w:rsidP="749708D2" w:rsidRDefault="749708D2" w14:paraId="582F5071" w14:textId="5311E9C9">
      <w:pPr>
        <w:pStyle w:val="Normal"/>
      </w:pPr>
    </w:p>
    <w:p w:rsidR="749708D2" w:rsidP="749708D2" w:rsidRDefault="749708D2" w14:paraId="3756F3A9" w14:textId="1E38EF25">
      <w:pPr>
        <w:pStyle w:val="Normal"/>
      </w:pPr>
    </w:p>
    <w:p w:rsidR="749708D2" w:rsidP="749708D2" w:rsidRDefault="749708D2" w14:paraId="23095305" w14:textId="45521857">
      <w:pPr>
        <w:pStyle w:val="Normal"/>
      </w:pPr>
    </w:p>
    <w:p w:rsidR="749708D2" w:rsidP="749708D2" w:rsidRDefault="749708D2" w14:paraId="65066ECA" w14:textId="11852FD0">
      <w:pPr>
        <w:pStyle w:val="Normal"/>
      </w:pPr>
    </w:p>
    <w:p w:rsidR="749708D2" w:rsidP="749708D2" w:rsidRDefault="749708D2" w14:paraId="2A3B4C3E" w14:textId="71571495">
      <w:pPr>
        <w:pStyle w:val="Normal"/>
      </w:pPr>
    </w:p>
    <w:p w:rsidR="749708D2" w:rsidP="749708D2" w:rsidRDefault="749708D2" w14:paraId="03F9CB83" w14:textId="57B98FD5">
      <w:pPr>
        <w:pStyle w:val="Normal"/>
      </w:pPr>
    </w:p>
    <w:p w:rsidR="749708D2" w:rsidP="749708D2" w:rsidRDefault="749708D2" w14:paraId="0FBFA7C8" w14:textId="530A7C2C">
      <w:pPr>
        <w:pStyle w:val="Normal"/>
      </w:pPr>
    </w:p>
    <w:p w:rsidR="749708D2" w:rsidP="749708D2" w:rsidRDefault="749708D2" w14:paraId="5D85B171" w14:textId="5E5B396E">
      <w:pPr>
        <w:pStyle w:val="Normal"/>
      </w:pPr>
    </w:p>
    <w:p w:rsidR="749708D2" w:rsidP="749708D2" w:rsidRDefault="749708D2" w14:paraId="3FC303BA" w14:textId="7BE9EEDC">
      <w:pPr>
        <w:pStyle w:val="Normal"/>
      </w:pPr>
    </w:p>
    <w:p w:rsidR="749708D2" w:rsidP="749708D2" w:rsidRDefault="749708D2" w14:paraId="604AC7CB" w14:textId="636B7B0B">
      <w:pPr>
        <w:pStyle w:val="Heading1"/>
        <w:rPr>
          <w:rFonts w:ascii="Arial" w:hAnsi="Arial" w:eastAsia="Arial" w:cs="Arial"/>
          <w:sz w:val="20"/>
          <w:szCs w:val="20"/>
        </w:rPr>
      </w:pPr>
      <w:r w:rsidRPr="749708D2" w:rsidR="749708D2">
        <w:rPr>
          <w:rFonts w:ascii="Arial" w:hAnsi="Arial" w:eastAsia="Arial" w:cs="Arial"/>
          <w:b w:val="1"/>
          <w:bCs w:val="1"/>
          <w:sz w:val="20"/>
          <w:szCs w:val="20"/>
        </w:rPr>
        <w:t>One-Off Serious Incident PEX: Evidence, Proportionality and Decision-Making Checklist</w:t>
      </w:r>
    </w:p>
    <w:p w:rsidR="749708D2" w:rsidP="749708D2" w:rsidRDefault="749708D2" w14:paraId="1CB160E1" w14:textId="3EDC6434">
      <w:pPr>
        <w:pStyle w:val="Normal"/>
        <w:rPr>
          <w:rFonts w:ascii="Arial" w:hAnsi="Arial" w:eastAsia="Arial" w:cs="Arial"/>
          <w:sz w:val="20"/>
          <w:szCs w:val="20"/>
        </w:rPr>
      </w:pPr>
      <w:r w:rsidRPr="749708D2" w:rsidR="749708D2">
        <w:rPr>
          <w:rFonts w:ascii="Arial" w:hAnsi="Arial" w:eastAsia="Arial" w:cs="Arial"/>
          <w:sz w:val="20"/>
          <w:szCs w:val="20"/>
        </w:rPr>
        <w:t>Use this additional checklist where a permanent exclusion is being considered following a single serious incident. It is designed to help evidence that the decision has been properly investigated, that the statutory threshold has been met, and that permanent exclusion is necessary, proportionate and a genuine last resort.</w:t>
      </w:r>
    </w:p>
    <w:tbl>
      <w:tblPr>
        <w:tblStyle w:val="TableGrid"/>
        <w:tblW w:w="0" w:type="auto"/>
      </w:tblPr>
      <w:tblGrid>
        <w:gridCol w:w="1256"/>
        <w:gridCol w:w="3140"/>
        <w:gridCol w:w="6070"/>
      </w:tblGrid>
      <w:tr w:rsidR="749708D2" w:rsidTr="7B37AAC4" w14:paraId="27733B18">
        <w:tc>
          <w:tcPr>
            <w:tcW w:w="1256" w:type="dxa"/>
            <w:tcBorders>
              <w:top w:val="single" w:sz="4"/>
              <w:left w:val="single" w:sz="4"/>
              <w:bottom w:val="single" w:sz="4"/>
              <w:right w:val="single" w:sz="4"/>
            </w:tcBorders>
            <w:shd w:val="clear" w:color="auto" w:fill="DAE9F7" w:themeFill="text2" w:themeFillTint="1A"/>
            <w:tcMar/>
          </w:tcPr>
          <w:p w:rsidR="749708D2" w:rsidP="749708D2" w:rsidRDefault="749708D2" w14:paraId="49FC5457" w14:textId="5657DD89">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b w:val="1"/>
                <w:bCs w:val="1"/>
                <w:sz w:val="20"/>
                <w:szCs w:val="20"/>
              </w:rPr>
              <w:t>Complete</w:t>
            </w:r>
          </w:p>
        </w:tc>
        <w:tc>
          <w:tcPr>
            <w:tcW w:w="3140" w:type="dxa"/>
            <w:tcBorders>
              <w:top w:val="single" w:sz="4"/>
              <w:left w:val="single" w:sz="4"/>
              <w:bottom w:val="single" w:sz="4"/>
              <w:right w:val="single" w:sz="4"/>
            </w:tcBorders>
            <w:shd w:val="clear" w:color="auto" w:fill="DAE9F7" w:themeFill="text2" w:themeFillTint="1A"/>
            <w:tcMar/>
          </w:tcPr>
          <w:p w:rsidR="749708D2" w:rsidP="749708D2" w:rsidRDefault="749708D2" w14:paraId="1FCA5F51" w14:textId="04EC969C">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b w:val="1"/>
                <w:bCs w:val="1"/>
                <w:sz w:val="20"/>
                <w:szCs w:val="20"/>
              </w:rPr>
              <w:t>Checklist area</w:t>
            </w:r>
          </w:p>
        </w:tc>
        <w:tc>
          <w:tcPr>
            <w:tcW w:w="6070" w:type="dxa"/>
            <w:tcBorders>
              <w:top w:val="single" w:sz="4"/>
              <w:left w:val="single" w:sz="4"/>
              <w:bottom w:val="single" w:sz="4"/>
              <w:right w:val="single" w:sz="4"/>
            </w:tcBorders>
            <w:shd w:val="clear" w:color="auto" w:fill="DAE9F7" w:themeFill="text2" w:themeFillTint="1A"/>
            <w:tcMar/>
          </w:tcPr>
          <w:p w:rsidR="749708D2" w:rsidP="749708D2" w:rsidRDefault="749708D2" w14:paraId="3C9364AF" w14:textId="05B65E40">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b w:val="1"/>
                <w:bCs w:val="1"/>
                <w:sz w:val="20"/>
                <w:szCs w:val="20"/>
              </w:rPr>
              <w:t>Evidence / information required</w:t>
            </w:r>
          </w:p>
        </w:tc>
      </w:tr>
      <w:tr w:rsidR="749708D2" w:rsidTr="7B37AAC4" w14:paraId="44943F63">
        <w:tc>
          <w:tcPr>
            <w:tcW w:w="1256" w:type="dxa"/>
            <w:tcBorders>
              <w:top w:val="single" w:sz="4"/>
              <w:left w:val="single" w:sz="4"/>
              <w:bottom w:val="single" w:sz="4"/>
              <w:right w:val="single" w:sz="4"/>
            </w:tcBorders>
            <w:tcMar/>
          </w:tcPr>
          <w:p w:rsidR="749708D2" w:rsidP="749708D2" w:rsidRDefault="749708D2" w14:paraId="707720C8" w14:textId="0ADD933B">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3E59B988" w14:textId="121B5D18">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Incident summary</w:t>
            </w:r>
          </w:p>
        </w:tc>
        <w:tc>
          <w:tcPr>
            <w:tcW w:w="6070" w:type="dxa"/>
            <w:tcBorders>
              <w:top w:val="single" w:sz="4"/>
              <w:left w:val="single" w:sz="4"/>
              <w:bottom w:val="single" w:sz="4"/>
              <w:right w:val="single" w:sz="4"/>
            </w:tcBorders>
            <w:tcMar/>
          </w:tcPr>
          <w:p w:rsidR="749708D2" w:rsidP="749708D2" w:rsidRDefault="749708D2" w14:paraId="297883B7" w14:textId="0ABBE17D">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Clear account of what happened, when, where, who was involved, who witnessed it, immediate actions taken, whether emergency services or safeguarding partners were contacted, and how the incident breached the school behaviour policy.</w:t>
            </w:r>
          </w:p>
        </w:tc>
      </w:tr>
      <w:tr w:rsidR="749708D2" w:rsidTr="7B37AAC4" w14:paraId="146ED3E8">
        <w:tc>
          <w:tcPr>
            <w:tcW w:w="1256" w:type="dxa"/>
            <w:tcBorders>
              <w:top w:val="single" w:sz="4"/>
              <w:left w:val="single" w:sz="4"/>
              <w:bottom w:val="single" w:sz="4"/>
              <w:right w:val="single" w:sz="4"/>
            </w:tcBorders>
            <w:tcMar/>
          </w:tcPr>
          <w:p w:rsidR="749708D2" w:rsidP="749708D2" w:rsidRDefault="749708D2" w14:paraId="06638BEA" w14:textId="3A73EA2F">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4F543E52" w14:textId="1D43E2C3">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Factual findings</w:t>
            </w:r>
          </w:p>
        </w:tc>
        <w:tc>
          <w:tcPr>
            <w:tcW w:w="6070" w:type="dxa"/>
            <w:tcBorders>
              <w:top w:val="single" w:sz="4"/>
              <w:left w:val="single" w:sz="4"/>
              <w:bottom w:val="single" w:sz="4"/>
              <w:right w:val="single" w:sz="4"/>
            </w:tcBorders>
            <w:tcMar/>
          </w:tcPr>
          <w:p w:rsidR="749708D2" w:rsidP="749708D2" w:rsidRDefault="749708D2" w14:paraId="672FDE27" w14:textId="273444B0">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Record what is accepted as fact, what remains disputed, the standard of proof applied, how conflicting accounts were resolved, and why the school considers the incident occurred as alleged.</w:t>
            </w:r>
          </w:p>
        </w:tc>
      </w:tr>
      <w:tr w:rsidR="749708D2" w:rsidTr="7B37AAC4" w14:paraId="0CA1023C">
        <w:tc>
          <w:tcPr>
            <w:tcW w:w="1256" w:type="dxa"/>
            <w:tcBorders>
              <w:top w:val="single" w:sz="4"/>
              <w:left w:val="single" w:sz="4"/>
              <w:bottom w:val="single" w:sz="4"/>
              <w:right w:val="single" w:sz="4"/>
            </w:tcBorders>
            <w:tcMar/>
          </w:tcPr>
          <w:p w:rsidR="749708D2" w:rsidP="749708D2" w:rsidRDefault="749708D2" w14:paraId="4C8603FA" w14:textId="6DA4B8AE">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1AE81B95" w14:textId="165CCFDE">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Key evidence reviewed</w:t>
            </w:r>
          </w:p>
        </w:tc>
        <w:tc>
          <w:tcPr>
            <w:tcW w:w="6070" w:type="dxa"/>
            <w:tcBorders>
              <w:top w:val="single" w:sz="4"/>
              <w:left w:val="single" w:sz="4"/>
              <w:bottom w:val="single" w:sz="4"/>
              <w:right w:val="single" w:sz="4"/>
            </w:tcBorders>
            <w:tcMar/>
          </w:tcPr>
          <w:p w:rsidR="749708D2" w:rsidP="749708D2" w:rsidRDefault="749708D2" w14:paraId="410C9063" w14:textId="39B28ED7">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Witness statements, pupil account, staff notes, CCTV, photographs, physical evidence, accident reports, behaviour records, safeguarding records and any police or multi-agency information reviewed and included where relevant.</w:t>
            </w:r>
          </w:p>
        </w:tc>
      </w:tr>
      <w:tr w:rsidR="749708D2" w:rsidTr="7B37AAC4" w14:paraId="137D3A78">
        <w:tc>
          <w:tcPr>
            <w:tcW w:w="1256" w:type="dxa"/>
            <w:tcBorders>
              <w:top w:val="single" w:sz="4"/>
              <w:left w:val="single" w:sz="4"/>
              <w:bottom w:val="single" w:sz="4"/>
              <w:right w:val="single" w:sz="4"/>
            </w:tcBorders>
            <w:tcMar/>
          </w:tcPr>
          <w:p w:rsidR="749708D2" w:rsidP="749708D2" w:rsidRDefault="749708D2" w14:paraId="531AF3EA" w14:textId="052114A6">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2F548465" w14:textId="168D02B2">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CCTV and disclosure</w:t>
            </w:r>
          </w:p>
        </w:tc>
        <w:tc>
          <w:tcPr>
            <w:tcW w:w="6070" w:type="dxa"/>
            <w:tcBorders>
              <w:top w:val="single" w:sz="4"/>
              <w:left w:val="single" w:sz="4"/>
              <w:bottom w:val="single" w:sz="4"/>
              <w:right w:val="single" w:sz="4"/>
            </w:tcBorders>
            <w:tcMar/>
          </w:tcPr>
          <w:p w:rsidR="749708D2" w:rsidP="749708D2" w:rsidRDefault="749708D2" w14:paraId="29BDF35D" w14:textId="6E28FE36">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Confirm whether CCTV or images were viewed by the headteacher, shared fairly with parents/carers where lawful, made available to governors/panel members, and redacted or blurred where necessary to protect other pupils.</w:t>
            </w:r>
          </w:p>
        </w:tc>
      </w:tr>
      <w:tr w:rsidR="749708D2" w:rsidTr="7B37AAC4" w14:paraId="2F8AD941">
        <w:tc>
          <w:tcPr>
            <w:tcW w:w="1256" w:type="dxa"/>
            <w:tcBorders>
              <w:top w:val="single" w:sz="4"/>
              <w:left w:val="single" w:sz="4"/>
              <w:bottom w:val="single" w:sz="4"/>
              <w:right w:val="single" w:sz="4"/>
            </w:tcBorders>
            <w:tcMar/>
          </w:tcPr>
          <w:p w:rsidR="749708D2" w:rsidP="749708D2" w:rsidRDefault="749708D2" w14:paraId="41F1920A" w14:textId="3C7D13F8">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7F819A51" w14:textId="4702D2CA">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Intent, understanding and context</w:t>
            </w:r>
          </w:p>
        </w:tc>
        <w:tc>
          <w:tcPr>
            <w:tcW w:w="6070" w:type="dxa"/>
            <w:tcBorders>
              <w:top w:val="single" w:sz="4"/>
              <w:left w:val="single" w:sz="4"/>
              <w:bottom w:val="single" w:sz="4"/>
              <w:right w:val="single" w:sz="4"/>
            </w:tcBorders>
            <w:tcMar/>
          </w:tcPr>
          <w:p w:rsidR="749708D2" w:rsidP="749708D2" w:rsidRDefault="749708D2" w14:paraId="6EDA3B7E" w14:textId="431EA04B">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Assess whether the pupil intended harm, understood the seriousness of their actions, understood the item or behaviour was dangerous or prohibited, acted impulsively or deliberately, and whether peer pressure, bullying, exploitation, trauma, dysregulation or other contextual factors were relevant.</w:t>
            </w:r>
          </w:p>
        </w:tc>
      </w:tr>
      <w:tr w:rsidR="749708D2" w:rsidTr="7B37AAC4" w14:paraId="02F21A58">
        <w:tc>
          <w:tcPr>
            <w:tcW w:w="1256" w:type="dxa"/>
            <w:tcBorders>
              <w:top w:val="single" w:sz="4"/>
              <w:left w:val="single" w:sz="4"/>
              <w:bottom w:val="single" w:sz="4"/>
              <w:right w:val="single" w:sz="4"/>
            </w:tcBorders>
            <w:tcMar/>
          </w:tcPr>
          <w:p w:rsidR="749708D2" w:rsidP="749708D2" w:rsidRDefault="749708D2" w14:paraId="153B45ED" w14:textId="379C7409">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1C216D26" w14:textId="68224865">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SEND, SEMH, disability and health</w:t>
            </w:r>
          </w:p>
        </w:tc>
        <w:tc>
          <w:tcPr>
            <w:tcW w:w="6070" w:type="dxa"/>
            <w:tcBorders>
              <w:top w:val="single" w:sz="4"/>
              <w:left w:val="single" w:sz="4"/>
              <w:bottom w:val="single" w:sz="4"/>
              <w:right w:val="single" w:sz="4"/>
            </w:tcBorders>
            <w:tcMar/>
          </w:tcPr>
          <w:p w:rsidR="749708D2" w:rsidP="749708D2" w:rsidRDefault="749708D2" w14:paraId="7956EF93" w14:textId="64A94255">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Consider whether SEND, SEMH, disability, medical needs, medication, communication needs or known vulnerabilities affected the pupil’s judgement, regulation, perception of risk, understanding of consequences or ability to access support.</w:t>
            </w:r>
          </w:p>
        </w:tc>
      </w:tr>
      <w:tr w:rsidR="749708D2" w:rsidTr="7B37AAC4" w14:paraId="607CE094">
        <w:tc>
          <w:tcPr>
            <w:tcW w:w="1256" w:type="dxa"/>
            <w:tcBorders>
              <w:top w:val="single" w:sz="4"/>
              <w:left w:val="single" w:sz="4"/>
              <w:bottom w:val="single" w:sz="4"/>
              <w:right w:val="single" w:sz="4"/>
            </w:tcBorders>
            <w:tcMar/>
          </w:tcPr>
          <w:p w:rsidR="749708D2" w:rsidP="749708D2" w:rsidRDefault="749708D2" w14:paraId="314707E8" w14:textId="6074F267">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3B5F9C8D" w14:textId="296DE63C">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Serious harm threshold</w:t>
            </w:r>
          </w:p>
        </w:tc>
        <w:tc>
          <w:tcPr>
            <w:tcW w:w="6070" w:type="dxa"/>
            <w:tcBorders>
              <w:top w:val="single" w:sz="4"/>
              <w:left w:val="single" w:sz="4"/>
              <w:bottom w:val="single" w:sz="4"/>
              <w:right w:val="single" w:sz="4"/>
            </w:tcBorders>
            <w:tcMar/>
          </w:tcPr>
          <w:p w:rsidR="749708D2" w:rsidP="749708D2" w:rsidRDefault="749708D2" w14:paraId="249CF8FC" w14:textId="1400C3E2">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Identify the specific serious harm that would be likely if the pupil returned, who may be harmed, how education or welfare would be affected, the likelihood and severity of harm, and the evidence supporting that assessment.</w:t>
            </w:r>
          </w:p>
        </w:tc>
      </w:tr>
      <w:tr w:rsidR="749708D2" w:rsidTr="7B37AAC4" w14:paraId="14163C9C">
        <w:tc>
          <w:tcPr>
            <w:tcW w:w="1256" w:type="dxa"/>
            <w:tcBorders>
              <w:top w:val="single" w:sz="4"/>
              <w:left w:val="single" w:sz="4"/>
              <w:bottom w:val="single" w:sz="4"/>
              <w:right w:val="single" w:sz="4"/>
            </w:tcBorders>
            <w:tcMar/>
          </w:tcPr>
          <w:p w:rsidR="749708D2" w:rsidP="749708D2" w:rsidRDefault="749708D2" w14:paraId="69ABAEFA" w14:textId="086AEF25">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10851731" w14:textId="56DB5BCB">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Alternatives to permanent exclusion</w:t>
            </w:r>
          </w:p>
        </w:tc>
        <w:tc>
          <w:tcPr>
            <w:tcW w:w="6070" w:type="dxa"/>
            <w:tcBorders>
              <w:top w:val="single" w:sz="4"/>
              <w:left w:val="single" w:sz="4"/>
              <w:bottom w:val="single" w:sz="4"/>
              <w:right w:val="single" w:sz="4"/>
            </w:tcBorders>
            <w:tcMar/>
          </w:tcPr>
          <w:p w:rsidR="749708D2" w:rsidP="749708D2" w:rsidRDefault="749708D2" w14:paraId="7EC0B6CD" w14:textId="3DA6A5FE">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Evidence that lesser measures were actively considered, including further suspension, off-site direction, managed move, alternative provision, risk management plan, reintegration plan, increased pastoral support, early annual review or urgent multi-agency review.</w:t>
            </w:r>
          </w:p>
        </w:tc>
      </w:tr>
      <w:tr w:rsidR="749708D2" w:rsidTr="7B37AAC4" w14:paraId="19A2CDEE">
        <w:tc>
          <w:tcPr>
            <w:tcW w:w="1256" w:type="dxa"/>
            <w:tcBorders>
              <w:top w:val="single" w:sz="4"/>
              <w:left w:val="single" w:sz="4"/>
              <w:bottom w:val="single" w:sz="4"/>
              <w:right w:val="single" w:sz="4"/>
            </w:tcBorders>
            <w:tcMar/>
          </w:tcPr>
          <w:p w:rsidR="749708D2" w:rsidP="749708D2" w:rsidRDefault="749708D2" w14:paraId="57AC8372" w14:textId="1ACC40D7">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040E88EE" w14:textId="74E5CD59">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Why alternatives would not be sufficient</w:t>
            </w:r>
          </w:p>
        </w:tc>
        <w:tc>
          <w:tcPr>
            <w:tcW w:w="6070" w:type="dxa"/>
            <w:tcBorders>
              <w:top w:val="single" w:sz="4"/>
              <w:left w:val="single" w:sz="4"/>
              <w:bottom w:val="single" w:sz="4"/>
              <w:right w:val="single" w:sz="4"/>
            </w:tcBorders>
            <w:tcMar/>
          </w:tcPr>
          <w:p w:rsidR="749708D2" w:rsidP="749708D2" w:rsidRDefault="749708D2" w14:paraId="6FD5D158" w14:textId="2F7A9726">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Record why each realistic alternative would not sufficiently reduce the risk of serious harm, with reasons specific to the pupil, incident and school context.</w:t>
            </w:r>
          </w:p>
        </w:tc>
      </w:tr>
      <w:tr w:rsidR="749708D2" w:rsidTr="7B37AAC4" w14:paraId="6762A725">
        <w:tc>
          <w:tcPr>
            <w:tcW w:w="1256" w:type="dxa"/>
            <w:tcBorders>
              <w:top w:val="single" w:sz="4"/>
              <w:left w:val="single" w:sz="4"/>
              <w:bottom w:val="single" w:sz="4"/>
              <w:right w:val="single" w:sz="4"/>
            </w:tcBorders>
            <w:tcMar/>
          </w:tcPr>
          <w:p w:rsidR="749708D2" w:rsidP="749708D2" w:rsidRDefault="749708D2" w14:paraId="6BEA3844" w14:textId="4F4C8499">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458A168D" w14:textId="2584CCD3">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Impact on the pupil</w:t>
            </w:r>
          </w:p>
        </w:tc>
        <w:tc>
          <w:tcPr>
            <w:tcW w:w="6070" w:type="dxa"/>
            <w:tcBorders>
              <w:top w:val="single" w:sz="4"/>
              <w:left w:val="single" w:sz="4"/>
              <w:bottom w:val="single" w:sz="4"/>
              <w:right w:val="single" w:sz="4"/>
            </w:tcBorders>
            <w:tcMar/>
          </w:tcPr>
          <w:p w:rsidR="749708D2" w:rsidP="749708D2" w:rsidRDefault="749708D2" w14:paraId="2873D78C" w14:textId="67A7104D">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Assess the likely educational, emotional, safeguarding, social and transition impact of permanent exclusion, including loss of relationships, disruption to support, exams, therapies, travel, attendance, stability and wellbeing.</w:t>
            </w:r>
          </w:p>
        </w:tc>
      </w:tr>
      <w:tr w:rsidR="749708D2" w:rsidTr="7B37AAC4" w14:paraId="42E7EDCF">
        <w:tc>
          <w:tcPr>
            <w:tcW w:w="1256" w:type="dxa"/>
            <w:tcBorders>
              <w:top w:val="single" w:sz="4"/>
              <w:left w:val="single" w:sz="4"/>
              <w:bottom w:val="single" w:sz="4"/>
              <w:right w:val="single" w:sz="4"/>
            </w:tcBorders>
            <w:tcMar/>
          </w:tcPr>
          <w:p w:rsidR="749708D2" w:rsidP="749708D2" w:rsidRDefault="749708D2" w14:paraId="091C4646" w14:textId="083E2AF6">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5C1B0E2E" w14:textId="60C419E9">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Proportionality decision</w:t>
            </w:r>
          </w:p>
        </w:tc>
        <w:tc>
          <w:tcPr>
            <w:tcW w:w="6070" w:type="dxa"/>
            <w:tcBorders>
              <w:top w:val="single" w:sz="4"/>
              <w:left w:val="single" w:sz="4"/>
              <w:bottom w:val="single" w:sz="4"/>
              <w:right w:val="single" w:sz="4"/>
            </w:tcBorders>
            <w:tcMar/>
          </w:tcPr>
          <w:p w:rsidR="749708D2" w:rsidP="749708D2" w:rsidRDefault="749708D2" w14:paraId="2C13AE91" w14:textId="3E621E88">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Record the balancing exercise between the impact on the pupil and the risk to staff, pupils and the school community. Explain clearly why permanent exclusion is proportionate and necessary as a last resort.</w:t>
            </w:r>
          </w:p>
        </w:tc>
      </w:tr>
      <w:tr w:rsidR="749708D2" w:rsidTr="7B37AAC4" w14:paraId="1CF786BD">
        <w:tc>
          <w:tcPr>
            <w:tcW w:w="1256" w:type="dxa"/>
            <w:tcBorders>
              <w:top w:val="single" w:sz="4"/>
              <w:left w:val="single" w:sz="4"/>
              <w:bottom w:val="single" w:sz="4"/>
              <w:right w:val="single" w:sz="4"/>
            </w:tcBorders>
            <w:tcMar/>
          </w:tcPr>
          <w:p w:rsidR="749708D2" w:rsidP="749708D2" w:rsidRDefault="749708D2" w14:paraId="48EDCF06" w14:textId="4EDFEAA3">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0145789A" w14:textId="5B6DBB98">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Parent/carer and pupil voice</w:t>
            </w:r>
          </w:p>
        </w:tc>
        <w:tc>
          <w:tcPr>
            <w:tcW w:w="6070" w:type="dxa"/>
            <w:tcBorders>
              <w:top w:val="single" w:sz="4"/>
              <w:left w:val="single" w:sz="4"/>
              <w:bottom w:val="single" w:sz="4"/>
              <w:right w:val="single" w:sz="4"/>
            </w:tcBorders>
            <w:tcMar/>
          </w:tcPr>
          <w:p w:rsidR="749708D2" w:rsidP="749708D2" w:rsidRDefault="749708D2" w14:paraId="167111AF" w14:textId="7F99F06E">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Parents/carers and the pupil have been given a fair opportunity to provide their account, evidence, mitigation, contextual information and views. Record how these were considered.</w:t>
            </w:r>
          </w:p>
        </w:tc>
      </w:tr>
      <w:tr w:rsidR="749708D2" w:rsidTr="7B37AAC4" w14:paraId="5F479312">
        <w:tc>
          <w:tcPr>
            <w:tcW w:w="1256" w:type="dxa"/>
            <w:tcBorders>
              <w:top w:val="single" w:sz="4"/>
              <w:left w:val="single" w:sz="4"/>
              <w:bottom w:val="single" w:sz="4"/>
              <w:right w:val="single" w:sz="4"/>
            </w:tcBorders>
            <w:tcMar/>
          </w:tcPr>
          <w:p w:rsidR="749708D2" w:rsidP="749708D2" w:rsidRDefault="749708D2" w14:paraId="109F5A94" w14:textId="39B3CDF8">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6BF1D941" w14:textId="5E4F5390">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Governor scrutiny</w:t>
            </w:r>
          </w:p>
        </w:tc>
        <w:tc>
          <w:tcPr>
            <w:tcW w:w="6070" w:type="dxa"/>
            <w:tcBorders>
              <w:top w:val="single" w:sz="4"/>
              <w:left w:val="single" w:sz="4"/>
              <w:bottom w:val="single" w:sz="4"/>
              <w:right w:val="single" w:sz="4"/>
            </w:tcBorders>
            <w:tcMar/>
          </w:tcPr>
          <w:p w:rsidR="749708D2" w:rsidP="749708D2" w:rsidRDefault="749708D2" w14:paraId="14FB3B57" w14:textId="4C6BB079">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Governors must take their own decision on reinstatement, test the evidence, consider the pupil’s circumstances, examine alternatives, record challenge and provide clear reasons for their decision.</w:t>
            </w:r>
          </w:p>
        </w:tc>
      </w:tr>
      <w:tr w:rsidR="749708D2" w:rsidTr="7B37AAC4" w14:paraId="5A0ED7DA">
        <w:tc>
          <w:tcPr>
            <w:tcW w:w="1256" w:type="dxa"/>
            <w:tcBorders>
              <w:top w:val="single" w:sz="4"/>
              <w:left w:val="single" w:sz="4"/>
              <w:bottom w:val="single" w:sz="4"/>
              <w:right w:val="single" w:sz="4"/>
            </w:tcBorders>
            <w:tcMar/>
          </w:tcPr>
          <w:p w:rsidR="749708D2" w:rsidP="749708D2" w:rsidRDefault="749708D2" w14:paraId="034B4F1C" w14:textId="043CF7C7">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7AFE2BD2" w14:textId="19BCA192">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Decision letter quality</w:t>
            </w:r>
          </w:p>
        </w:tc>
        <w:tc>
          <w:tcPr>
            <w:tcW w:w="6070" w:type="dxa"/>
            <w:tcBorders>
              <w:top w:val="single" w:sz="4"/>
              <w:left w:val="single" w:sz="4"/>
              <w:bottom w:val="single" w:sz="4"/>
              <w:right w:val="single" w:sz="4"/>
            </w:tcBorders>
            <w:tcMar/>
          </w:tcPr>
          <w:p w:rsidR="7B37AAC4" w:rsidP="7B37AAC4" w:rsidRDefault="7B37AAC4" w14:paraId="14CC3593" w14:textId="1B76104E">
            <w:pPr>
              <w:pStyle w:val="Normal"/>
              <w:pBdr>
                <w:top w:val="single" w:color="" w:sz="4" w:space="4"/>
                <w:left w:val="single" w:color="" w:sz="4" w:space="4"/>
                <w:bottom w:val="single" w:color="" w:sz="4" w:space="4"/>
                <w:right w:val="single" w:color="" w:sz="4" w:space="4"/>
              </w:pBdr>
            </w:pPr>
            <w:r w:rsidRPr="7B37AAC4" w:rsidR="7B37AAC4">
              <w:rPr>
                <w:rFonts w:ascii="Arial" w:hAnsi="Arial" w:eastAsia="Arial" w:cs="Arial"/>
                <w:sz w:val="20"/>
                <w:szCs w:val="20"/>
              </w:rPr>
              <w:t>Decision letter explains the evidence relied upon, factual findings, serious harm assessment, proportionality reasoning, alternatives considered, parent/pupil representations and why reinstatement was refused or agreed. Maintained schools must provide families with the appeals email address edappealsadmin@birmingham.gov.uk in all Governing Board Discipline Committee (GDC) decision letters, including for submitting any request for an Independent Review Panel or related correspondence.</w:t>
            </w:r>
          </w:p>
        </w:tc>
      </w:tr>
      <w:tr w:rsidR="749708D2" w:rsidTr="7B37AAC4" w14:paraId="3B8E7634">
        <w:tc>
          <w:tcPr>
            <w:tcW w:w="1256" w:type="dxa"/>
            <w:tcBorders>
              <w:top w:val="single" w:sz="4"/>
              <w:left w:val="single" w:sz="4"/>
              <w:bottom w:val="single" w:sz="4"/>
              <w:right w:val="single" w:sz="4"/>
            </w:tcBorders>
            <w:tcMar/>
          </w:tcPr>
          <w:p w:rsidR="749708D2" w:rsidP="749708D2" w:rsidRDefault="749708D2" w14:paraId="0801FD3E" w14:textId="1C7ACF92">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w:t>
            </w:r>
          </w:p>
        </w:tc>
        <w:tc>
          <w:tcPr>
            <w:tcW w:w="3140" w:type="dxa"/>
            <w:tcBorders>
              <w:top w:val="single" w:sz="4"/>
              <w:left w:val="single" w:sz="4"/>
              <w:bottom w:val="single" w:sz="4"/>
              <w:right w:val="single" w:sz="4"/>
            </w:tcBorders>
            <w:tcMar/>
          </w:tcPr>
          <w:p w:rsidR="749708D2" w:rsidP="749708D2" w:rsidRDefault="749708D2" w14:paraId="357DF4C7" w14:textId="311E398D">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IRP-readiness check</w:t>
            </w:r>
          </w:p>
        </w:tc>
        <w:tc>
          <w:tcPr>
            <w:tcW w:w="6070" w:type="dxa"/>
            <w:tcBorders>
              <w:top w:val="single" w:sz="4"/>
              <w:left w:val="single" w:sz="4"/>
              <w:bottom w:val="single" w:sz="4"/>
              <w:right w:val="single" w:sz="4"/>
            </w:tcBorders>
            <w:tcMar/>
          </w:tcPr>
          <w:p w:rsidR="749708D2" w:rsidP="749708D2" w:rsidRDefault="749708D2" w14:paraId="77173443" w14:textId="5075717C">
            <w:pPr>
              <w:pStyle w:val="Normal"/>
              <w:pBdr>
                <w:top w:val="single" w:color="" w:sz="4" w:space="4"/>
                <w:left w:val="single" w:color="" w:sz="4" w:space="4"/>
                <w:bottom w:val="single" w:color="" w:sz="4" w:space="4"/>
                <w:right w:val="single" w:color="" w:sz="4" w:space="4"/>
              </w:pBdr>
              <w:rPr>
                <w:rFonts w:ascii="Arial" w:hAnsi="Arial" w:eastAsia="Arial" w:cs="Arial"/>
                <w:sz w:val="20"/>
                <w:szCs w:val="20"/>
              </w:rPr>
            </w:pPr>
            <w:r w:rsidRPr="749708D2" w:rsidR="749708D2">
              <w:rPr>
                <w:rFonts w:ascii="Arial" w:hAnsi="Arial" w:eastAsia="Arial" w:cs="Arial"/>
                <w:sz w:val="20"/>
                <w:szCs w:val="20"/>
              </w:rPr>
              <w:t>Final review confirms that an independent reviewer could understand why permanent exclusion was necessary, what evidence was relied upon, why the statutory threshold was met, why alternatives were rejected and how the main disputed issues were addressed.</w:t>
            </w:r>
          </w:p>
        </w:tc>
      </w:tr>
    </w:tbl>
    <w:p w:rsidRPr="001E215E" w:rsidR="25F3D617" w:rsidP="25F3D617" w:rsidRDefault="25F3D617" w14:paraId="16A57E29" w14:textId="4CF3C675">
      <w:pPr>
        <w:rPr>
          <w:rFonts w:ascii="Arial" w:hAnsi="Arial" w:cs="Arial"/>
          <w:sz w:val="20"/>
          <w:szCs w:val="20"/>
        </w:rPr>
      </w:pPr>
    </w:p>
    <w:p w:rsidRPr="00F9391B" w:rsidR="00F9391B" w:rsidP="00F9391B" w:rsidRDefault="00F9391B" w14:paraId="6FBD0134" w14:textId="77777777">
      <w:pPr>
        <w:rPr>
          <w:rFonts w:ascii="Arial" w:hAnsi="Arial" w:cs="Arial"/>
          <w:sz w:val="20"/>
          <w:szCs w:val="20"/>
          <w:lang w:eastAsia="en-GB"/>
        </w:rPr>
      </w:pPr>
    </w:p>
    <w:p w:rsidRPr="00F9391B" w:rsidR="00936957" w:rsidRDefault="00936957" w14:paraId="0B2D182B" w14:textId="77777777">
      <w:pPr>
        <w:rPr>
          <w:rFonts w:ascii="Arial" w:hAnsi="Arial" w:cs="Arial"/>
          <w:sz w:val="20"/>
          <w:szCs w:val="20"/>
        </w:rPr>
      </w:pPr>
    </w:p>
    <w:sectPr w:rsidRPr="00F9391B" w:rsidR="00936957" w:rsidSect="00F9391B">
      <w:footerReference w:type="even" r:id="rId14"/>
      <w:footerReference w:type="default" r:id="rId15"/>
      <w:footerReference w:type="first" r:id="rId16"/>
      <w:pgSz w:w="11906" w:h="16838" w:orient="portrait"/>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3FF3" w:rsidP="00F9391B" w:rsidRDefault="00973FF3" w14:paraId="08513016" w14:textId="77777777">
      <w:pPr>
        <w:spacing w:after="0" w:line="240" w:lineRule="auto"/>
      </w:pPr>
      <w:r>
        <w:separator/>
      </w:r>
    </w:p>
  </w:endnote>
  <w:endnote w:type="continuationSeparator" w:id="0">
    <w:p w:rsidR="00973FF3" w:rsidP="00F9391B" w:rsidRDefault="00973FF3" w14:paraId="1675F19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6A70B1" w:rsidRDefault="00F9391B" w14:paraId="66528A39" w14:textId="28F3D419">
    <w:pPr>
      <w:pStyle w:val="Footer"/>
    </w:pPr>
    <w:r>
      <w:rPr>
        <w:noProof/>
      </w:rPr>
      <mc:AlternateContent>
        <mc:Choice Requires="wps">
          <w:drawing>
            <wp:anchor distT="0" distB="0" distL="0" distR="0" simplePos="0" relativeHeight="251658241" behindDoc="0" locked="0" layoutInCell="1" allowOverlap="1" wp14:anchorId="2D1C938E" wp14:editId="4904ED1B">
              <wp:simplePos x="635" y="635"/>
              <wp:positionH relativeFrom="page">
                <wp:align>center</wp:align>
              </wp:positionH>
              <wp:positionV relativeFrom="page">
                <wp:align>bottom</wp:align>
              </wp:positionV>
              <wp:extent cx="518795" cy="370205"/>
              <wp:effectExtent l="0" t="0" r="14605" b="0"/>
              <wp:wrapNone/>
              <wp:docPr id="721443537" name="Text Box 2" descr="OFFICIAL">
                <a:extLst xmlns:a="http://schemas.openxmlformats.org/drawingml/2006/main">
                  <a:ext uri="{FF2B5EF4-FFF2-40B4-BE49-F238E27FC236}">
                    <a16:creationId xmlns:a16="http://schemas.microsoft.com/office/drawing/2014/main" id="{39CF189F-735A-4536-915C-8FC8DF377AB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F9391B" w:rsidR="00F9391B" w:rsidP="00F9391B" w:rsidRDefault="00F9391B" w14:paraId="5C9582DD" w14:textId="6ECA363E">
                          <w:pPr>
                            <w:spacing w:after="0"/>
                            <w:rPr>
                              <w:rFonts w:ascii="Aptos" w:hAnsi="Aptos" w:eastAsia="Aptos" w:cs="Aptos"/>
                              <w:noProof/>
                              <w:color w:val="000000"/>
                              <w:sz w:val="20"/>
                              <w:szCs w:val="20"/>
                            </w:rPr>
                          </w:pPr>
                          <w:r w:rsidRPr="00F9391B">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2D1C938E">
              <v:stroke joinstyle="miter"/>
              <v:path gradientshapeok="t" o:connecttype="rect"/>
            </v:shapetype>
            <v:shape id="Text Box 2" style="position:absolute;margin-left:0;margin-top:0;width:40.85pt;height:29.15pt;z-index:251659264;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">
              <v:textbox style="mso-fit-shape-to-text:t" inset="0,0,0,15pt">
                <w:txbxContent>
                  <w:p w:rsidRPr="00F9391B" w:rsidR="00F9391B" w:rsidP="00F9391B" w:rsidRDefault="00F9391B" w14:paraId="5C9582DD" w14:textId="6ECA363E">
                    <w:pPr>
                      <w:spacing w:after="0"/>
                      <w:rPr>
                        <w:rFonts w:ascii="Aptos" w:hAnsi="Aptos" w:eastAsia="Aptos" w:cs="Aptos"/>
                        <w:noProof/>
                        <w:color w:val="000000"/>
                        <w:sz w:val="20"/>
                        <w:szCs w:val="20"/>
                      </w:rPr>
                    </w:pPr>
                    <w:r w:rsidRPr="00F9391B">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6A70B1" w:rsidRDefault="00F9391B" w14:paraId="5C978D36" w14:textId="3CF5B9CA">
    <w:pPr>
      <w:pStyle w:val="Footer"/>
    </w:pPr>
    <w:r>
      <w:rPr>
        <w:noProof/>
      </w:rPr>
      <mc:AlternateContent>
        <mc:Choice Requires="wps">
          <w:drawing>
            <wp:anchor distT="0" distB="0" distL="0" distR="0" simplePos="0" relativeHeight="251658242" behindDoc="0" locked="0" layoutInCell="1" allowOverlap="1" wp14:anchorId="39E540BE" wp14:editId="3B568B9F">
              <wp:simplePos x="457200" y="10058400"/>
              <wp:positionH relativeFrom="page">
                <wp:align>center</wp:align>
              </wp:positionH>
              <wp:positionV relativeFrom="page">
                <wp:align>bottom</wp:align>
              </wp:positionV>
              <wp:extent cx="518795" cy="370205"/>
              <wp:effectExtent l="0" t="0" r="14605" b="0"/>
              <wp:wrapNone/>
              <wp:docPr id="1006524426" name="Text Box 3" descr="OFFICIAL">
                <a:extLst xmlns:a="http://schemas.openxmlformats.org/drawingml/2006/main">
                  <a:ext uri="{FF2B5EF4-FFF2-40B4-BE49-F238E27FC236}">
                    <a16:creationId xmlns:a16="http://schemas.microsoft.com/office/drawing/2014/main" id="{80CC216E-5B49-403B-9717-D9380213F77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F9391B" w:rsidR="00F9391B" w:rsidP="00F9391B" w:rsidRDefault="00F9391B" w14:paraId="5EEDF3FE" w14:textId="69B6444B">
                          <w:pPr>
                            <w:spacing w:after="0"/>
                            <w:rPr>
                              <w:rFonts w:ascii="Aptos" w:hAnsi="Aptos" w:eastAsia="Aptos" w:cs="Aptos"/>
                              <w:noProof/>
                              <w:color w:val="000000"/>
                              <w:sz w:val="20"/>
                              <w:szCs w:val="20"/>
                            </w:rPr>
                          </w:pPr>
                          <w:r w:rsidRPr="00F9391B">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39E540BE">
              <v:stroke joinstyle="miter"/>
              <v:path gradientshapeok="t" o:connecttype="rect"/>
            </v:shapetype>
            <v:shape id="Text Box 3" style="position:absolute;margin-left:0;margin-top:0;width:40.85pt;height:29.15pt;z-index:251660288;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wDQ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">
              <v:textbox style="mso-fit-shape-to-text:t" inset="0,0,0,15pt">
                <w:txbxContent>
                  <w:p w:rsidRPr="00F9391B" w:rsidR="00F9391B" w:rsidP="00F9391B" w:rsidRDefault="00F9391B" w14:paraId="5EEDF3FE" w14:textId="69B6444B">
                    <w:pPr>
                      <w:spacing w:after="0"/>
                      <w:rPr>
                        <w:rFonts w:ascii="Aptos" w:hAnsi="Aptos" w:eastAsia="Aptos" w:cs="Aptos"/>
                        <w:noProof/>
                        <w:color w:val="000000"/>
                        <w:sz w:val="20"/>
                        <w:szCs w:val="20"/>
                      </w:rPr>
                    </w:pPr>
                    <w:r w:rsidRPr="00F9391B">
                      <w:rPr>
                        <w:rFonts w:ascii="Aptos" w:hAnsi="Aptos" w:eastAsia="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6A70B1" w:rsidRDefault="00F9391B" w14:paraId="6F795C39" w14:textId="1E382201">
    <w:pPr>
      <w:pStyle w:val="Footer"/>
    </w:pPr>
    <w:r>
      <w:rPr>
        <w:noProof/>
      </w:rPr>
      <mc:AlternateContent>
        <mc:Choice Requires="wps">
          <w:drawing>
            <wp:anchor distT="0" distB="0" distL="0" distR="0" simplePos="0" relativeHeight="251658240" behindDoc="0" locked="0" layoutInCell="1" allowOverlap="1" wp14:anchorId="6A7D3FFA" wp14:editId="05E5C9CD">
              <wp:simplePos x="635" y="635"/>
              <wp:positionH relativeFrom="page">
                <wp:align>center</wp:align>
              </wp:positionH>
              <wp:positionV relativeFrom="page">
                <wp:align>bottom</wp:align>
              </wp:positionV>
              <wp:extent cx="518795" cy="370205"/>
              <wp:effectExtent l="0" t="0" r="14605" b="0"/>
              <wp:wrapNone/>
              <wp:docPr id="1727045989" name="Text Box 1" descr="OFFICIAL">
                <a:extLst xmlns:a="http://schemas.openxmlformats.org/drawingml/2006/main">
                  <a:ext uri="{FF2B5EF4-FFF2-40B4-BE49-F238E27FC236}">
                    <a16:creationId xmlns:a16="http://schemas.microsoft.com/office/drawing/2014/main" id="{F4023072-1E14-4D4C-9E7E-03B67A340CA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F9391B" w:rsidR="00F9391B" w:rsidP="00F9391B" w:rsidRDefault="00F9391B" w14:paraId="1F9EF7A6" w14:textId="308F6C01">
                          <w:pPr>
                            <w:spacing w:after="0"/>
                            <w:rPr>
                              <w:rFonts w:ascii="Aptos" w:hAnsi="Aptos" w:eastAsia="Aptos" w:cs="Aptos"/>
                              <w:noProof/>
                              <w:color w:val="000000"/>
                              <w:sz w:val="20"/>
                              <w:szCs w:val="20"/>
                            </w:rPr>
                          </w:pPr>
                          <w:r w:rsidRPr="00F9391B">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6A7D3FFA">
              <v:stroke joinstyle="miter"/>
              <v:path gradientshapeok="t" o:connecttype="rect"/>
            </v:shapetype>
            <v:shape id="Text Box 1" style="position:absolute;margin-left:0;margin-top:0;width:40.85pt;height:29.15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v:textbox style="mso-fit-shape-to-text:t" inset="0,0,0,15pt">
                <w:txbxContent>
                  <w:p w:rsidRPr="00F9391B" w:rsidR="00F9391B" w:rsidP="00F9391B" w:rsidRDefault="00F9391B" w14:paraId="1F9EF7A6" w14:textId="308F6C01">
                    <w:pPr>
                      <w:spacing w:after="0"/>
                      <w:rPr>
                        <w:rFonts w:ascii="Aptos" w:hAnsi="Aptos" w:eastAsia="Aptos" w:cs="Aptos"/>
                        <w:noProof/>
                        <w:color w:val="000000"/>
                        <w:sz w:val="20"/>
                        <w:szCs w:val="20"/>
                      </w:rPr>
                    </w:pPr>
                    <w:r w:rsidRPr="00F9391B">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3FF3" w:rsidP="00F9391B" w:rsidRDefault="00973FF3" w14:paraId="0E76FA59" w14:textId="77777777">
      <w:pPr>
        <w:spacing w:after="0" w:line="240" w:lineRule="auto"/>
      </w:pPr>
      <w:r>
        <w:separator/>
      </w:r>
    </w:p>
  </w:footnote>
  <w:footnote w:type="continuationSeparator" w:id="0">
    <w:p w:rsidR="00973FF3" w:rsidP="00F9391B" w:rsidRDefault="00973FF3" w14:paraId="09EA9AC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91B"/>
    <w:rsid w:val="00013176"/>
    <w:rsid w:val="000545A6"/>
    <w:rsid w:val="00094169"/>
    <w:rsid w:val="000F3E35"/>
    <w:rsid w:val="001B73E5"/>
    <w:rsid w:val="001E215E"/>
    <w:rsid w:val="001F302C"/>
    <w:rsid w:val="00232452"/>
    <w:rsid w:val="00245783"/>
    <w:rsid w:val="0047396B"/>
    <w:rsid w:val="0049724F"/>
    <w:rsid w:val="004A3CBE"/>
    <w:rsid w:val="004C20CD"/>
    <w:rsid w:val="005C5944"/>
    <w:rsid w:val="00642A61"/>
    <w:rsid w:val="006A70B1"/>
    <w:rsid w:val="006B0B44"/>
    <w:rsid w:val="006E658C"/>
    <w:rsid w:val="006F0061"/>
    <w:rsid w:val="006F7FD8"/>
    <w:rsid w:val="00700D4D"/>
    <w:rsid w:val="00796737"/>
    <w:rsid w:val="00820EEB"/>
    <w:rsid w:val="008A13C7"/>
    <w:rsid w:val="009115EF"/>
    <w:rsid w:val="00936957"/>
    <w:rsid w:val="00973FF3"/>
    <w:rsid w:val="00992C37"/>
    <w:rsid w:val="009F46E2"/>
    <w:rsid w:val="00A1110D"/>
    <w:rsid w:val="00A30931"/>
    <w:rsid w:val="00A66FAD"/>
    <w:rsid w:val="00AC24FE"/>
    <w:rsid w:val="00AE7E9F"/>
    <w:rsid w:val="00B57D3A"/>
    <w:rsid w:val="00B67458"/>
    <w:rsid w:val="00BA49F8"/>
    <w:rsid w:val="00BC2A8F"/>
    <w:rsid w:val="00C23668"/>
    <w:rsid w:val="00C72B56"/>
    <w:rsid w:val="00C86B49"/>
    <w:rsid w:val="00C872B2"/>
    <w:rsid w:val="00C901BD"/>
    <w:rsid w:val="00CB44D6"/>
    <w:rsid w:val="00D0123E"/>
    <w:rsid w:val="00D247E4"/>
    <w:rsid w:val="00D263E2"/>
    <w:rsid w:val="00DC4C0D"/>
    <w:rsid w:val="00F41D23"/>
    <w:rsid w:val="00F9391B"/>
    <w:rsid w:val="00FC776E"/>
    <w:rsid w:val="00FE7950"/>
    <w:rsid w:val="0206B17C"/>
    <w:rsid w:val="02370FE5"/>
    <w:rsid w:val="0242D1D5"/>
    <w:rsid w:val="0424F184"/>
    <w:rsid w:val="080B7D2F"/>
    <w:rsid w:val="0C4281C9"/>
    <w:rsid w:val="0CE3B843"/>
    <w:rsid w:val="0D1CDFFE"/>
    <w:rsid w:val="0DD19DBD"/>
    <w:rsid w:val="110260B1"/>
    <w:rsid w:val="1187D819"/>
    <w:rsid w:val="1218381F"/>
    <w:rsid w:val="14844E35"/>
    <w:rsid w:val="154606EE"/>
    <w:rsid w:val="1932AB94"/>
    <w:rsid w:val="1AF3B3C3"/>
    <w:rsid w:val="213C174C"/>
    <w:rsid w:val="25F3D617"/>
    <w:rsid w:val="25F5F1C1"/>
    <w:rsid w:val="2E87FEED"/>
    <w:rsid w:val="2FF7985D"/>
    <w:rsid w:val="2FFE1546"/>
    <w:rsid w:val="31E86CFC"/>
    <w:rsid w:val="3328663E"/>
    <w:rsid w:val="34BF9F4A"/>
    <w:rsid w:val="38DF6760"/>
    <w:rsid w:val="3A1836C7"/>
    <w:rsid w:val="3A95613D"/>
    <w:rsid w:val="3C810367"/>
    <w:rsid w:val="3F733110"/>
    <w:rsid w:val="3F8BB3BE"/>
    <w:rsid w:val="40C94DD4"/>
    <w:rsid w:val="43868E79"/>
    <w:rsid w:val="43BD8218"/>
    <w:rsid w:val="43C071E5"/>
    <w:rsid w:val="45012509"/>
    <w:rsid w:val="49CC6F87"/>
    <w:rsid w:val="49FAD1C0"/>
    <w:rsid w:val="4BE0438F"/>
    <w:rsid w:val="4DA52FFD"/>
    <w:rsid w:val="5093E341"/>
    <w:rsid w:val="5113BACA"/>
    <w:rsid w:val="5409DA01"/>
    <w:rsid w:val="551D1922"/>
    <w:rsid w:val="59B9AA0D"/>
    <w:rsid w:val="5CEEBD2B"/>
    <w:rsid w:val="60485C68"/>
    <w:rsid w:val="60AA075A"/>
    <w:rsid w:val="6421294E"/>
    <w:rsid w:val="65083B59"/>
    <w:rsid w:val="65636BEC"/>
    <w:rsid w:val="68EC57D9"/>
    <w:rsid w:val="69E55224"/>
    <w:rsid w:val="6DF70231"/>
    <w:rsid w:val="6FA0B348"/>
    <w:rsid w:val="73CFC18D"/>
    <w:rsid w:val="741484C6"/>
    <w:rsid w:val="747016D5"/>
    <w:rsid w:val="749708D2"/>
    <w:rsid w:val="7563BF46"/>
    <w:rsid w:val="771D8D18"/>
    <w:rsid w:val="784EC3AE"/>
    <w:rsid w:val="7896A613"/>
    <w:rsid w:val="7A713FF3"/>
    <w:rsid w:val="7B37AAC4"/>
    <w:rsid w:val="7CB9D926"/>
    <w:rsid w:val="7E8AD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1C40E"/>
  <w15:chartTrackingRefBased/>
  <w15:docId w15:val="{B0E74BBB-7708-49A1-B41A-B842FABE1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391B"/>
  </w:style>
  <w:style w:type="paragraph" w:styleId="Heading1">
    <w:name w:val="heading 1"/>
    <w:basedOn w:val="Normal"/>
    <w:next w:val="Normal"/>
    <w:link w:val="Heading1Char"/>
    <w:uiPriority w:val="9"/>
    <w:qFormat/>
    <w:rsid w:val="00F9391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391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39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39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39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39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9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9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91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9391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9391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9391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9391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9391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9391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9391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9391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9391B"/>
    <w:rPr>
      <w:rFonts w:eastAsiaTheme="majorEastAsia" w:cstheme="majorBidi"/>
      <w:color w:val="272727" w:themeColor="text1" w:themeTint="D8"/>
    </w:rPr>
  </w:style>
  <w:style w:type="paragraph" w:styleId="Title">
    <w:name w:val="Title"/>
    <w:basedOn w:val="Normal"/>
    <w:next w:val="Normal"/>
    <w:link w:val="TitleChar"/>
    <w:uiPriority w:val="10"/>
    <w:qFormat/>
    <w:rsid w:val="00F9391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9391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9391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93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91B"/>
    <w:pPr>
      <w:spacing w:before="160"/>
      <w:jc w:val="center"/>
    </w:pPr>
    <w:rPr>
      <w:i/>
      <w:iCs/>
      <w:color w:val="404040" w:themeColor="text1" w:themeTint="BF"/>
    </w:rPr>
  </w:style>
  <w:style w:type="character" w:styleId="QuoteChar" w:customStyle="1">
    <w:name w:val="Quote Char"/>
    <w:basedOn w:val="DefaultParagraphFont"/>
    <w:link w:val="Quote"/>
    <w:uiPriority w:val="29"/>
    <w:rsid w:val="00F9391B"/>
    <w:rPr>
      <w:i/>
      <w:iCs/>
      <w:color w:val="404040" w:themeColor="text1" w:themeTint="BF"/>
    </w:rPr>
  </w:style>
  <w:style w:type="paragraph" w:styleId="ListParagraph">
    <w:name w:val="List Paragraph"/>
    <w:basedOn w:val="Normal"/>
    <w:uiPriority w:val="34"/>
    <w:qFormat/>
    <w:rsid w:val="00F9391B"/>
    <w:pPr>
      <w:ind w:left="720"/>
      <w:contextualSpacing/>
    </w:pPr>
  </w:style>
  <w:style w:type="character" w:styleId="IntenseEmphasis">
    <w:name w:val="Intense Emphasis"/>
    <w:basedOn w:val="DefaultParagraphFont"/>
    <w:uiPriority w:val="21"/>
    <w:qFormat/>
    <w:rsid w:val="00F9391B"/>
    <w:rPr>
      <w:i/>
      <w:iCs/>
      <w:color w:val="0F4761" w:themeColor="accent1" w:themeShade="BF"/>
    </w:rPr>
  </w:style>
  <w:style w:type="paragraph" w:styleId="IntenseQuote">
    <w:name w:val="Intense Quote"/>
    <w:basedOn w:val="Normal"/>
    <w:next w:val="Normal"/>
    <w:link w:val="IntenseQuoteChar"/>
    <w:uiPriority w:val="30"/>
    <w:qFormat/>
    <w:rsid w:val="00F9391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9391B"/>
    <w:rPr>
      <w:i/>
      <w:iCs/>
      <w:color w:val="0F4761" w:themeColor="accent1" w:themeShade="BF"/>
    </w:rPr>
  </w:style>
  <w:style w:type="character" w:styleId="IntenseReference">
    <w:name w:val="Intense Reference"/>
    <w:basedOn w:val="DefaultParagraphFont"/>
    <w:uiPriority w:val="32"/>
    <w:qFormat/>
    <w:rsid w:val="00F9391B"/>
    <w:rPr>
      <w:b/>
      <w:bCs/>
      <w:smallCaps/>
      <w:color w:val="0F4761" w:themeColor="accent1" w:themeShade="BF"/>
      <w:spacing w:val="5"/>
    </w:rPr>
  </w:style>
  <w:style w:type="paragraph" w:styleId="Footer">
    <w:name w:val="footer"/>
    <w:basedOn w:val="Normal"/>
    <w:link w:val="FooterChar"/>
    <w:uiPriority w:val="99"/>
    <w:unhideWhenUsed/>
    <w:rsid w:val="00F939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F9391B"/>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semiHidden/>
    <w:unhideWhenUsed/>
    <w:rsid w:val="006B0B44"/>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6B0B44"/>
  </w:style>
  <w:style w:type="character" w:styleId="CommentReference">
    <w:name w:val="annotation reference"/>
    <w:basedOn w:val="DefaultParagraphFont"/>
    <w:uiPriority w:val="99"/>
    <w:semiHidden/>
    <w:unhideWhenUsed/>
    <w:rsid w:val="008A13C7"/>
    <w:rPr>
      <w:sz w:val="16"/>
      <w:szCs w:val="16"/>
    </w:rPr>
  </w:style>
  <w:style w:type="paragraph" w:styleId="CommentText">
    <w:name w:val="annotation text"/>
    <w:basedOn w:val="Normal"/>
    <w:link w:val="CommentTextChar"/>
    <w:uiPriority w:val="99"/>
    <w:unhideWhenUsed/>
    <w:rsid w:val="008A13C7"/>
    <w:pPr>
      <w:spacing w:line="240" w:lineRule="auto"/>
    </w:pPr>
    <w:rPr>
      <w:sz w:val="20"/>
      <w:szCs w:val="20"/>
    </w:rPr>
  </w:style>
  <w:style w:type="character" w:styleId="CommentTextChar" w:customStyle="1">
    <w:name w:val="Comment Text Char"/>
    <w:basedOn w:val="DefaultParagraphFont"/>
    <w:link w:val="CommentText"/>
    <w:uiPriority w:val="99"/>
    <w:rsid w:val="008A13C7"/>
    <w:rPr>
      <w:sz w:val="20"/>
      <w:szCs w:val="20"/>
    </w:rPr>
  </w:style>
  <w:style w:type="paragraph" w:styleId="CommentSubject">
    <w:name w:val="annotation subject"/>
    <w:basedOn w:val="CommentText"/>
    <w:next w:val="CommentText"/>
    <w:link w:val="CommentSubjectChar"/>
    <w:uiPriority w:val="99"/>
    <w:semiHidden/>
    <w:unhideWhenUsed/>
    <w:rsid w:val="008A13C7"/>
    <w:rPr>
      <w:b/>
      <w:bCs/>
    </w:rPr>
  </w:style>
  <w:style w:type="character" w:styleId="CommentSubjectChar" w:customStyle="1">
    <w:name w:val="Comment Subject Char"/>
    <w:basedOn w:val="CommentTextChar"/>
    <w:link w:val="CommentSubject"/>
    <w:uiPriority w:val="99"/>
    <w:semiHidden/>
    <w:rsid w:val="008A13C7"/>
    <w:rPr>
      <w:b/>
      <w:bCs/>
      <w:sz w:val="20"/>
      <w:szCs w:val="20"/>
    </w:rPr>
  </w:style>
  <w:style w:type="character" w:styleId="Hyperlink">
    <w:name w:val="Hyperlink"/>
    <w:basedOn w:val="DefaultParagraphFont"/>
    <w:uiPriority w:val="99"/>
    <w:unhideWhenUsed/>
    <w:rsid w:val="008A13C7"/>
    <w:rPr>
      <w:color w:val="467886" w:themeColor="hyperlink"/>
      <w:u w:val="single"/>
    </w:rPr>
  </w:style>
  <w:style w:type="character" w:styleId="UnresolvedMention">
    <w:name w:val="Unresolved Mention"/>
    <w:basedOn w:val="DefaultParagraphFont"/>
    <w:uiPriority w:val="99"/>
    <w:semiHidden/>
    <w:unhideWhenUsed/>
    <w:rsid w:val="008A1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1deac7-53a6-4112-86fb-b6e5ba5f2c62">
      <Terms xmlns="http://schemas.microsoft.com/office/infopath/2007/PartnerControls"/>
    </lcf76f155ced4ddcb4097134ff3c332f>
    <TaxCatchAll xmlns="1b42a1d6-030b-4d60-a179-8ceb2398376b" xsi:nil="true"/>
    <SearchKeywords xmlns="5f1deac7-53a6-4112-86fb-b6e5ba5f2c62">permanent exclusion, PEX, checklist, evidence, SEND, safeguarding, governors</SearchKeywords>
    <Bookshelf xmlns="5f1deac7-53a6-4112-86fb-b6e5ba5f2c62">
      <Value>Guidance and Publications</Value>
    </Bookshelf>
    <Tags xmlns="5f1deac7-53a6-4112-86fb-b6e5ba5f2c62">
      <Value>Social, Emotional, Mental Wellbeing</Value>
    </Tags>
    <Area xmlns="5f1deac7-53a6-4112-86fb-b6e5ba5f2c62">
      <Value>Exclusions</Value>
    </Area>
    <Phase xmlns="5f1deac7-53a6-4112-86fb-b6e5ba5f2c62" xsi:nil="true"/>
    <Descritpion xmlns="5f1deac7-53a6-4112-86fb-b6e5ba5f2c62">Checklist for schools to evidence lawful, proportionate permanent-exclusion decisions, including SEND, safeguarding and governor review.</Descritpion>
    <Audience xmlns="5f1deac7-53a6-4112-86fb-b6e5ba5f2c62">
      <Value>Head Teacher</Value>
    </Audience>
    <ContentOwner xmlns="5f1deac7-53a6-4112-86fb-b6e5ba5f2c62" xsi:nil="true"/>
    <Comments xmlns="5f1deac7-53a6-4112-86fb-b6e5ba5f2c62" xsi:nil="true"/>
    <ResourceType xmlns="5f1deac7-53a6-4112-86fb-b6e5ba5f2c62">
      <Value>Guidance</Value>
    </ResourceType>
    <Status xmlns="5f1deac7-53a6-4112-86fb-b6e5ba5f2c62">Live</Status>
    <LastReviewed xmlns="5f1deac7-53a6-4112-86fb-b6e5ba5f2c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55818D67A86D4C8559F2DD2F8D264D" ma:contentTypeVersion="23" ma:contentTypeDescription="Create a new document." ma:contentTypeScope="" ma:versionID="0e8cbd8e695d3827a1122eceeaca31f0">
  <xsd:schema xmlns:xsd="http://www.w3.org/2001/XMLSchema" xmlns:xs="http://www.w3.org/2001/XMLSchema" xmlns:p="http://schemas.microsoft.com/office/2006/metadata/properties" xmlns:ns2="5f1deac7-53a6-4112-86fb-b6e5ba5f2c62" xmlns:ns3="1b42a1d6-030b-4d60-a179-8ceb2398376b" targetNamespace="http://schemas.microsoft.com/office/2006/metadata/properties" ma:root="true" ma:fieldsID="e5e9b3d0c2f84d70ba36594769f1f1b9" ns2:_="" ns3:_="">
    <xsd:import namespace="5f1deac7-53a6-4112-86fb-b6e5ba5f2c62"/>
    <xsd:import namespace="1b42a1d6-030b-4d60-a179-8ceb239837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Area" minOccurs="0"/>
                <xsd:element ref="ns2:Bookshelf" minOccurs="0"/>
                <xsd:element ref="ns2:Comments" minOccurs="0"/>
                <xsd:element ref="ns2:Tags" minOccurs="0"/>
                <xsd:element ref="ns2:Audience" minOccurs="0"/>
                <xsd:element ref="ns2:ResourceType" minOccurs="0"/>
                <xsd:element ref="ns2:Phase" minOccurs="0"/>
                <xsd:element ref="ns2:Status" minOccurs="0"/>
                <xsd:element ref="ns2:ContentOwner" minOccurs="0"/>
                <xsd:element ref="ns2:LastReviewed" minOccurs="0"/>
                <xsd:element ref="ns2:Descritpion" minOccurs="0"/>
                <xsd:element ref="ns2:MediaServiceLocation" minOccurs="0"/>
                <xsd:element ref="ns2:Search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deac7-53a6-4112-86fb-b6e5ba5f2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rea" ma:index="18" nillable="true" ma:displayName="Window" ma:description="Which room in the house does this resource relate to?" ma:format="Dropdown" ma:internalName="Area">
      <xsd:complexType>
        <xsd:complexContent>
          <xsd:extension base="dms:MultiChoice">
            <xsd:sequence>
              <xsd:element name="Value" maxOccurs="unbounded" minOccurs="0" nillable="true">
                <xsd:simpleType>
                  <xsd:restriction base="dms:Choice">
                    <xsd:enumeration value="OAG"/>
                    <xsd:enumeration value="Curriculum Pathways"/>
                    <xsd:enumeration value="Inclusive Pathways"/>
                    <xsd:enumeration value="Medical Needs"/>
                    <xsd:enumeration value="Transition"/>
                    <xsd:enumeration value="SEN"/>
                    <xsd:enumeration value="Autism-Friendly"/>
                    <xsd:enumeration value="Wellbeing and Resilience"/>
                    <xsd:enumeration value="Attendance"/>
                    <xsd:enumeration value="EAL"/>
                    <xsd:enumeration value="Inclusion"/>
                    <xsd:enumeration value="N/A"/>
                    <xsd:enumeration value="Exclusions"/>
                    <xsd:enumeration value="Section 19"/>
                  </xsd:restriction>
                </xsd:simpleType>
              </xsd:element>
            </xsd:sequence>
          </xsd:extension>
        </xsd:complexContent>
      </xsd:complexType>
    </xsd:element>
    <xsd:element name="Bookshelf" ma:index="19" nillable="true" ma:displayName="Shelf" ma:description="Which shelf in the Inclusion House Digital Library does this sit?" ma:format="Dropdown" ma:internalName="Bookshelf">
      <xsd:complexType>
        <xsd:complexContent>
          <xsd:extension base="dms:MultiChoice">
            <xsd:sequence>
              <xsd:element name="Value" maxOccurs="unbounded" minOccurs="0" nillable="true">
                <xsd:simpleType>
                  <xsd:restriction base="dms:Choice">
                    <xsd:enumeration value="Showcases"/>
                    <xsd:enumeration value="Guidance and Publications"/>
                    <xsd:enumeration value="Strategic Implementation"/>
                    <xsd:enumeration value="Practitioner Resources"/>
                    <xsd:enumeration value="Workforce Development"/>
                    <xsd:enumeration value="Parent Carers"/>
                    <xsd:enumeration value="N/A"/>
                  </xsd:restriction>
                </xsd:simpleType>
              </xsd:element>
            </xsd:sequence>
          </xsd:extension>
        </xsd:complexContent>
      </xsd:complexType>
    </xsd:element>
    <xsd:element name="Comments" ma:index="20" nillable="true" ma:displayName="Comments" ma:internalName="Comments">
      <xsd:simpleType>
        <xsd:restriction base="dms:Note">
          <xsd:maxLength value="255"/>
        </xsd:restriction>
      </xsd:simpleType>
    </xsd:element>
    <xsd:element name="Tags" ma:index="21" nillable="true" ma:displayName="Area of Need" ma:format="Dropdown" ma:internalName="Tags">
      <xsd:complexType>
        <xsd:complexContent>
          <xsd:extension base="dms:MultiChoice">
            <xsd:sequence>
              <xsd:element name="Value" maxOccurs="unbounded" minOccurs="0" nillable="true">
                <xsd:simpleType>
                  <xsd:restriction base="dms:Choice">
                    <xsd:enumeration value="Communication and Interaction"/>
                    <xsd:enumeration value="Cognition and Learning"/>
                    <xsd:enumeration value="Sensory and Physical"/>
                    <xsd:enumeration value="Social, Emotional, Mental Wellbeing"/>
                  </xsd:restriction>
                </xsd:simpleType>
              </xsd:element>
            </xsd:sequence>
          </xsd:extension>
        </xsd:complexContent>
      </xsd:complexType>
    </xsd:element>
    <xsd:element name="Audience" ma:index="22" nillable="true" ma:displayName="Audience" ma:description="Role etc. " ma:format="Dropdown" ma:internalName="Audience">
      <xsd:complexType>
        <xsd:complexContent>
          <xsd:extension base="dms:MultiChoice">
            <xsd:sequence>
              <xsd:element name="Value" maxOccurs="unbounded" minOccurs="0" nillable="true">
                <xsd:simpleType>
                  <xsd:restriction base="dms:Choice">
                    <xsd:enumeration value="Governor / Trustee"/>
                    <xsd:enumeration value="Head Teacher"/>
                    <xsd:enumeration value="Senior Leader"/>
                    <xsd:enumeration value="Teacher"/>
                    <xsd:enumeration value="Teaching Assistant"/>
                    <xsd:enumeration value="Key Worker"/>
                    <xsd:enumeration value="Parent Carer"/>
                    <xsd:enumeration value="Pastoral"/>
                    <xsd:enumeration value="SENCo"/>
                  </xsd:restriction>
                </xsd:simpleType>
              </xsd:element>
            </xsd:sequence>
          </xsd:extension>
        </xsd:complexContent>
      </xsd:complexType>
    </xsd:element>
    <xsd:element name="ResourceType" ma:index="23" nillable="true" ma:displayName="Resource" ma:description="i.e. Guidance / Video / Webinar / Template / Showcase / Research" ma:format="Dropdown" ma:internalName="ResourceType">
      <xsd:complexType>
        <xsd:complexContent>
          <xsd:extension base="dms:MultiChoiceFillIn">
            <xsd:sequence>
              <xsd:element name="Value" maxOccurs="unbounded" minOccurs="0" nillable="true">
                <xsd:simpleType>
                  <xsd:union memberTypes="dms:Text">
                    <xsd:simpleType>
                      <xsd:restriction base="dms:Choice">
                        <xsd:enumeration value="Guidance"/>
                        <xsd:enumeration value="Video"/>
                        <xsd:enumeration value="Webinar"/>
                        <xsd:enumeration value="Template"/>
                        <xsd:enumeration value="Showcase"/>
                        <xsd:enumeration value="Research"/>
                        <xsd:enumeration value="Weblink"/>
                        <xsd:enumeration value="Training - In-person"/>
                        <xsd:enumeration value="Training - Online"/>
                        <xsd:enumeration value="Tool / Support"/>
                      </xsd:restriction>
                    </xsd:simpleType>
                  </xsd:union>
                </xsd:simpleType>
              </xsd:element>
            </xsd:sequence>
          </xsd:extension>
        </xsd:complexContent>
      </xsd:complexType>
    </xsd:element>
    <xsd:element name="Phase" ma:index="24" nillable="true" ma:displayName="Phase" ma:description="EY / Primary / Secondary / Post-16" ma:format="Dropdown" ma:internalName="Phase">
      <xsd:complexType>
        <xsd:complexContent>
          <xsd:extension base="dms:MultiChoiceFillIn">
            <xsd:sequence>
              <xsd:element name="Value" maxOccurs="unbounded" minOccurs="0" nillable="true">
                <xsd:simpleType>
                  <xsd:union memberTypes="dms:Text">
                    <xsd:simpleType>
                      <xsd:restriction base="dms:Choice">
                        <xsd:enumeration value="EY"/>
                        <xsd:enumeration value="Primary"/>
                        <xsd:enumeration value="Secondary"/>
                        <xsd:enumeration value="Post-16"/>
                        <xsd:enumeration value="Mainstream"/>
                        <xsd:enumeration value="Resource Base"/>
                        <xsd:enumeration value="Choice 8"/>
                        <xsd:enumeration value="Special"/>
                      </xsd:restriction>
                    </xsd:simpleType>
                  </xsd:union>
                </xsd:simpleType>
              </xsd:element>
            </xsd:sequence>
          </xsd:extension>
        </xsd:complexContent>
      </xsd:complexType>
    </xsd:element>
    <xsd:element name="Status" ma:index="25" nillable="true" ma:displayName="Status" ma:format="Dropdown" ma:internalName="Status">
      <xsd:simpleType>
        <xsd:restriction base="dms:Choice">
          <xsd:enumeration value="Draft"/>
          <xsd:enumeration value="Live"/>
          <xsd:enumeration value="Archived"/>
          <xsd:enumeration value="Choice 4"/>
        </xsd:restriction>
      </xsd:simpleType>
    </xsd:element>
    <xsd:element name="ContentOwner" ma:index="26" nillable="true" ma:displayName="Content Owner" ma:format="Dropdown" ma:internalName="ContentOwner">
      <xsd:simpleType>
        <xsd:restriction base="dms:Choice">
          <xsd:enumeration value="DH"/>
          <xsd:enumeration value="AW"/>
          <xsd:enumeration value="BG"/>
          <xsd:enumeration value="NC"/>
          <xsd:enumeration value="AS"/>
          <xsd:enumeration value="External"/>
          <xsd:enumeration value="EL"/>
          <xsd:enumeration value="Choice 8"/>
        </xsd:restriction>
      </xsd:simpleType>
    </xsd:element>
    <xsd:element name="LastReviewed" ma:index="27" nillable="true" ma:displayName="Date Added" ma:format="DateOnly" ma:internalName="LastReviewed">
      <xsd:simpleType>
        <xsd:restriction base="dms:DateTime"/>
      </xsd:simpleType>
    </xsd:element>
    <xsd:element name="Descritpion" ma:index="28" nillable="true" ma:displayName="Brief description " ma:description="A brief description of the item for the bookshelf entry" ma:format="Dropdown" ma:internalName="Descritpion">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SearchKeywords" ma:index="30" nillable="true" ma:displayName="Search keywords" ma:description="Comma-separated words to help users find this file in shelf modals (e.g. &quot;SEND, autism, guidance&quot;). Not shown on the card." ma:internalName="SearchKeyword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2a1d6-030b-4d60-a179-8ceb239837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645853-4468-4386-b456-5c6b49bc394f}" ma:internalName="TaxCatchAll" ma:showField="CatchAllData" ma:web="1b42a1d6-030b-4d60-a179-8ceb23983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6338C5-77C2-46B9-9FCC-B3BAF5E7CA82}">
  <ds:schemaRefs>
    <ds:schemaRef ds:uri="http://schemas.microsoft.com/office/2006/metadata/properties"/>
    <ds:schemaRef ds:uri="http://schemas.microsoft.com/office/infopath/2007/PartnerControls"/>
    <ds:schemaRef ds:uri="6c1c0d2b-4260-4bf5-9407-c25d00d51e99"/>
    <ds:schemaRef ds:uri="b9093c31-68af-48ad-89f9-4fe2e4a0bba1"/>
  </ds:schemaRefs>
</ds:datastoreItem>
</file>

<file path=customXml/itemProps2.xml><?xml version="1.0" encoding="utf-8"?>
<ds:datastoreItem xmlns:ds="http://schemas.openxmlformats.org/officeDocument/2006/customXml" ds:itemID="{636E0AEF-7E1C-4BB6-A411-1EC6DCE55765}">
  <ds:schemaRefs>
    <ds:schemaRef ds:uri="http://schemas.microsoft.com/sharepoint/v3/contenttype/forms"/>
  </ds:schemaRefs>
</ds:datastoreItem>
</file>

<file path=customXml/itemProps3.xml><?xml version="1.0" encoding="utf-8"?>
<ds:datastoreItem xmlns:ds="http://schemas.openxmlformats.org/officeDocument/2006/customXml" ds:itemID="{F8532408-01D2-4214-BA2E-C1A589BBC6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Birmingham City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Permanent exclusion evidence and decision-making checklist</dc:title>
  <dc:subject/>
  <dc:creator>Victoria Chatwin</dc:creator>
  <cp:keywords/>
  <dc:description/>
  <cp:lastModifiedBy>Victoria Chatwin</cp:lastModifiedBy>
  <cp:revision>29</cp:revision>
  <dcterms:created xsi:type="dcterms:W3CDTF">2026-07-23T02:38:00Z</dcterms:created>
  <dcterms:modified xsi:type="dcterms:W3CDTF">2026-09-15T10:06:37Z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0x010100B555818D67A86D4C8559F2DD2F8D264D</vt:lpwstr>
  </property>
  <property fmtid="{D5CDD505-2E9C-101B-9397-08002B2CF9AE}" pid="3" name="ClassificationContentMarkingFooterShapeIds">
    <vt:lpwstr>66f0a165,2b005ad1,3bfe580a</vt:lpwstr>
  </property>
  <property fmtid="{D5CDD505-2E9C-101B-9397-08002B2CF9AE}" pid="4" name="ClassificationContentMarkingFooterFontProps">
    <vt:lpwstr>#000000,10,Aptos</vt:lpwstr>
  </property>
  <property fmtid="{D5CDD505-2E9C-101B-9397-08002B2CF9AE}" pid="5" name="ClassificationContentMarkingFooterText">
    <vt:lpwstr>OFFICIAL</vt:lpwstr>
  </property>
  <property fmtid="{D5CDD505-2E9C-101B-9397-08002B2CF9AE}" pid="6" name="MSIP_Label_a17471b1-27ab-4640-9264-e69a67407ca3_Enabled">
    <vt:lpwstr>true</vt:lpwstr>
  </property>
  <property fmtid="{D5CDD505-2E9C-101B-9397-08002B2CF9AE}" pid="7" name="MSIP_Label_a17471b1-27ab-4640-9264-e69a67407ca3_SetDate">
    <vt:lpwstr>2026-07-23T10:40:31Z</vt:lpwstr>
  </property>
  <property fmtid="{D5CDD505-2E9C-101B-9397-08002B2CF9AE}" pid="8" name="MSIP_Label_a17471b1-27ab-4640-9264-e69a67407ca3_Method">
    <vt:lpwstr>Standard</vt:lpwstr>
  </property>
  <property fmtid="{D5CDD505-2E9C-101B-9397-08002B2CF9AE}" pid="9" name="MSIP_Label_a17471b1-27ab-4640-9264-e69a67407ca3_Name">
    <vt:lpwstr>BCC - OFFICIAL</vt:lpwstr>
  </property>
  <property fmtid="{D5CDD505-2E9C-101B-9397-08002B2CF9AE}" pid="10" name="MSIP_Label_a17471b1-27ab-4640-9264-e69a67407ca3_SiteId">
    <vt:lpwstr>699ace67-d2e4-4bcd-b303-d2bbe2b9bbf1</vt:lpwstr>
  </property>
  <property fmtid="{D5CDD505-2E9C-101B-9397-08002B2CF9AE}" pid="11" name="MSIP_Label_a17471b1-27ab-4640-9264-e69a67407ca3_ActionId">
    <vt:lpwstr>604ca383-917d-427c-b16e-6f34ef74917b</vt:lpwstr>
  </property>
  <property fmtid="{D5CDD505-2E9C-101B-9397-08002B2CF9AE}" pid="12" name="MSIP_Label_a17471b1-27ab-4640-9264-e69a67407ca3_ContentBits">
    <vt:lpwstr>2</vt:lpwstr>
  </property>
  <property fmtid="{D5CDD505-2E9C-101B-9397-08002B2CF9AE}" pid="13" name="MSIP_Label_a17471b1-27ab-4640-9264-e69a67407ca3_Tag">
    <vt:lpwstr>10, 3, 0, 1</vt:lpwstr>
  </property>
  <property fmtid="{D5CDD505-2E9C-101B-9397-08002B2CF9AE}" pid="14" name="MediaServiceImageTags">
    <vt:lpwstr/>
  </property>
  <property fmtid="{D5CDD505-2E9C-101B-9397-08002B2CF9AE}" pid="15" name="docLang">
    <vt:lpwstr>en</vt:lpwstr>
  </property>
  <property fmtid="{D5CDD505-2E9C-101B-9397-08002B2CF9AE}" pid="16" name="Order">
    <vt:r8>229500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_FormSourceId_0">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ies>
</file>